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rsidR="002D0A50" w:rsidRDefault="003454F6" w:rsidP="00456ECC">
      <w:pPr>
        <w:ind w:left="-567" w:right="-330"/>
        <w:jc w:val="center"/>
        <w:rPr>
          <w:rFonts w:cs="Times New Roman"/>
          <w:szCs w:val="24"/>
        </w:rPr>
      </w:pPr>
      <w:r>
        <w:rPr>
          <w:rFonts w:cs="Times New Roman"/>
          <w:szCs w:val="24"/>
        </w:rPr>
        <w:t>Annual Meeting Date: Monday, 23rd May</w:t>
      </w:r>
      <w:r w:rsidR="002D0A50">
        <w:rPr>
          <w:rFonts w:cs="Times New Roman"/>
          <w:szCs w:val="24"/>
        </w:rPr>
        <w:t xml:space="preserve"> 2016</w:t>
      </w:r>
      <w:r w:rsidR="002D0A50">
        <w:rPr>
          <w:rFonts w:cs="Times New Roman"/>
          <w:szCs w:val="24"/>
        </w:rPr>
        <w:br/>
        <w:t>Venue: Methodist Church, Bridewell Lane, Acle</w:t>
      </w:r>
      <w:r w:rsidR="002D0A50">
        <w:rPr>
          <w:rFonts w:cs="Times New Roman"/>
          <w:szCs w:val="24"/>
        </w:rPr>
        <w:br/>
        <w:t>Time: 7.30 p.m.</w:t>
      </w:r>
    </w:p>
    <w:p w:rsidR="002D0A50" w:rsidRDefault="002D0A50" w:rsidP="00456ECC">
      <w:pPr>
        <w:ind w:left="-567" w:right="-330"/>
        <w:rPr>
          <w:rFonts w:cs="Times New Roman"/>
          <w:szCs w:val="24"/>
        </w:rPr>
      </w:pPr>
      <w:r w:rsidRPr="00897E2D">
        <w:rPr>
          <w:rFonts w:cs="Times New Roman"/>
          <w:b/>
          <w:szCs w:val="24"/>
        </w:rPr>
        <w:t>PUBLIC FORUM:</w:t>
      </w:r>
    </w:p>
    <w:p w:rsidR="002D0A50" w:rsidRDefault="003454F6" w:rsidP="00456ECC">
      <w:pPr>
        <w:ind w:left="-567" w:right="-330"/>
        <w:rPr>
          <w:rFonts w:cs="Times New Roman"/>
          <w:szCs w:val="24"/>
        </w:rPr>
      </w:pPr>
      <w:r>
        <w:rPr>
          <w:rFonts w:cs="Times New Roman"/>
          <w:szCs w:val="24"/>
        </w:rPr>
        <w:t xml:space="preserve">There were four </w:t>
      </w:r>
      <w:r w:rsidR="002D0A50">
        <w:rPr>
          <w:rFonts w:cs="Times New Roman"/>
          <w:szCs w:val="24"/>
        </w:rPr>
        <w:t xml:space="preserve">members of the public present. Matters raised included </w:t>
      </w:r>
      <w:r>
        <w:rPr>
          <w:rFonts w:cs="Times New Roman"/>
          <w:szCs w:val="24"/>
        </w:rPr>
        <w:t>a boundary issue.</w:t>
      </w:r>
    </w:p>
    <w:p w:rsidR="002D0A50" w:rsidRDefault="003454F6" w:rsidP="001E738A">
      <w:pPr>
        <w:ind w:left="-567" w:right="-330"/>
        <w:rPr>
          <w:rFonts w:eastAsia="Times New Roman" w:cs="Times New Roman"/>
          <w:color w:val="000000"/>
          <w:szCs w:val="24"/>
          <w:lang w:eastAsia="en-GB"/>
        </w:rPr>
      </w:pPr>
      <w:r>
        <w:rPr>
          <w:rFonts w:cs="Times New Roman"/>
          <w:szCs w:val="24"/>
        </w:rPr>
        <w:t xml:space="preserve">District councillor Lana </w:t>
      </w:r>
      <w:r w:rsidR="00D47B30">
        <w:rPr>
          <w:rFonts w:cs="Times New Roman"/>
          <w:szCs w:val="24"/>
        </w:rPr>
        <w:t>Hempsall sent a report on discussions with Highways England about the dualling of A47 at Burlingham. There is no news about plans for Herondale.</w:t>
      </w:r>
    </w:p>
    <w:p w:rsidR="002D0A50" w:rsidRPr="00427E7A" w:rsidRDefault="002D0A50" w:rsidP="00456ECC">
      <w:pPr>
        <w:ind w:left="-567" w:right="-330"/>
        <w:rPr>
          <w:rFonts w:eastAsia="Times New Roman" w:cs="Times New Roman"/>
          <w:color w:val="000000"/>
          <w:szCs w:val="24"/>
          <w:lang w:eastAsia="en-GB"/>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r>
      <w:r w:rsidRPr="00E81D99">
        <w:rPr>
          <w:rFonts w:cs="Times New Roman"/>
          <w:szCs w:val="24"/>
        </w:rPr>
        <w:t>Barry Coveley</w:t>
      </w:r>
      <w:r>
        <w:rPr>
          <w:rFonts w:cs="Times New Roman"/>
          <w:b/>
          <w:szCs w:val="24"/>
        </w:rPr>
        <w:t xml:space="preserve"> </w:t>
      </w:r>
      <w:r>
        <w:rPr>
          <w:rFonts w:cs="Times New Roman"/>
          <w:szCs w:val="24"/>
        </w:rPr>
        <w:t>– Vice-chairman</w:t>
      </w:r>
      <w:r>
        <w:rPr>
          <w:rFonts w:cs="Times New Roman"/>
          <w:szCs w:val="24"/>
        </w:rPr>
        <w:br/>
        <w:t>Sally Aldridge, Annie Bassham, Angela Bishop, Jackie Clover, Roger Jay, Julia Line, Jamie Pizey, Ellen Thompson and Parish Clerk Pauline James.</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95"/>
      </w:tblGrid>
      <w:tr w:rsidR="002D0A50" w:rsidTr="00E21F6D">
        <w:tc>
          <w:tcPr>
            <w:tcW w:w="516" w:type="dxa"/>
          </w:tcPr>
          <w:p w:rsidR="002D0A50" w:rsidRDefault="002D0A50" w:rsidP="00456ECC">
            <w:r>
              <w:t>1</w:t>
            </w:r>
          </w:p>
        </w:tc>
        <w:tc>
          <w:tcPr>
            <w:tcW w:w="8595" w:type="dxa"/>
          </w:tcPr>
          <w:p w:rsidR="002D0A50" w:rsidRDefault="002D0A50" w:rsidP="00456ECC">
            <w:r w:rsidRPr="002D0A50">
              <w:rPr>
                <w:b/>
              </w:rPr>
              <w:t>ELECTION OF CHAIRMAN AND VICE-CHAIRMAN</w:t>
            </w:r>
            <w:r w:rsidR="009476D1">
              <w:rPr>
                <w:b/>
              </w:rPr>
              <w:br/>
            </w:r>
            <w:r w:rsidR="009476D1">
              <w:t>Tony Hemmingway was re-elected as Chairman and signed a Declaration of Acceptance of Office. Barry Coveley was re-elected Vice-Chairman.</w:t>
            </w:r>
          </w:p>
          <w:p w:rsidR="00EC704A" w:rsidRPr="002D0A50" w:rsidRDefault="009476D1" w:rsidP="009476D1">
            <w:pPr>
              <w:rPr>
                <w:b/>
              </w:rPr>
            </w:pPr>
            <w:r>
              <w:t>After a discussion about co-opted councillors the clerk confirmed that co-opted counc</w:t>
            </w:r>
            <w:r w:rsidR="00DF298A">
              <w:t xml:space="preserve">illors have the same powers and the same </w:t>
            </w:r>
            <w:r>
              <w:t>role as elected councillors and offered to obtain corroboration of this fact.</w:t>
            </w:r>
          </w:p>
        </w:tc>
      </w:tr>
      <w:tr w:rsidR="002D0A50" w:rsidTr="00593159">
        <w:tc>
          <w:tcPr>
            <w:tcW w:w="516" w:type="dxa"/>
          </w:tcPr>
          <w:p w:rsidR="002D0A50" w:rsidRPr="002D0A50" w:rsidRDefault="002D0A50" w:rsidP="00456ECC">
            <w:pPr>
              <w:rPr>
                <w:b/>
              </w:rPr>
            </w:pPr>
            <w:r w:rsidRPr="002D0A50">
              <w:rPr>
                <w:b/>
              </w:rPr>
              <w:t>2</w:t>
            </w:r>
          </w:p>
        </w:tc>
        <w:tc>
          <w:tcPr>
            <w:tcW w:w="8595" w:type="dxa"/>
          </w:tcPr>
          <w:p w:rsidR="00EC704A" w:rsidRPr="002D0A50" w:rsidRDefault="002D0A50" w:rsidP="009476D1">
            <w:pPr>
              <w:rPr>
                <w:b/>
              </w:rPr>
            </w:pPr>
            <w:r w:rsidRPr="002D0A50">
              <w:rPr>
                <w:b/>
              </w:rPr>
              <w:t>APOLOGIES</w:t>
            </w:r>
            <w:r w:rsidR="009476D1">
              <w:rPr>
                <w:b/>
              </w:rPr>
              <w:br/>
            </w:r>
            <w:r w:rsidR="009476D1" w:rsidRPr="009476D1">
              <w:t>David Burnett and Jack Horner-Glister</w:t>
            </w:r>
            <w:r w:rsidR="001E738A">
              <w:t>.</w:t>
            </w:r>
          </w:p>
        </w:tc>
      </w:tr>
      <w:tr w:rsidR="002D0A50" w:rsidTr="00A2523D">
        <w:tc>
          <w:tcPr>
            <w:tcW w:w="516" w:type="dxa"/>
          </w:tcPr>
          <w:p w:rsidR="002D0A50" w:rsidRPr="00312350" w:rsidRDefault="002D0A50" w:rsidP="00456ECC">
            <w:pPr>
              <w:rPr>
                <w:b/>
              </w:rPr>
            </w:pPr>
            <w:r w:rsidRPr="00312350">
              <w:rPr>
                <w:b/>
              </w:rPr>
              <w:t>3</w:t>
            </w:r>
          </w:p>
        </w:tc>
        <w:tc>
          <w:tcPr>
            <w:tcW w:w="8595" w:type="dxa"/>
          </w:tcPr>
          <w:p w:rsidR="00EC704A" w:rsidRPr="00312350" w:rsidRDefault="00312350" w:rsidP="009476D1">
            <w:pPr>
              <w:rPr>
                <w:b/>
              </w:rPr>
            </w:pPr>
            <w:r w:rsidRPr="00312350">
              <w:rPr>
                <w:b/>
              </w:rPr>
              <w:t>DECLARATIONS OF INTEREST</w:t>
            </w:r>
            <w:r w:rsidR="00553E39">
              <w:rPr>
                <w:b/>
              </w:rPr>
              <w:br/>
            </w:r>
            <w:r w:rsidR="00EC704A" w:rsidRPr="00553E39">
              <w:rPr>
                <w:rFonts w:cs="Times New Roman"/>
                <w:szCs w:val="24"/>
              </w:rPr>
              <w:t>Barry Coveley, Jackie Clover and Roger Jay declared a disclosable pecuniary interest in any financial transactions with the Recreation Centre, as Trustees. Angela Bishop had an interest in a payment.</w:t>
            </w:r>
            <w:r w:rsidR="009476D1">
              <w:rPr>
                <w:rFonts w:cs="Times New Roman"/>
                <w:szCs w:val="24"/>
              </w:rPr>
              <w:t xml:space="preserve">  Roger Jay, Julia Line and Annie Bassham declared an interest as allotment holders.</w:t>
            </w:r>
          </w:p>
        </w:tc>
      </w:tr>
      <w:tr w:rsidR="002D0A50" w:rsidTr="00E21F6D">
        <w:tc>
          <w:tcPr>
            <w:tcW w:w="456" w:type="dxa"/>
          </w:tcPr>
          <w:p w:rsidR="002D0A50" w:rsidRPr="00312350" w:rsidRDefault="00312350" w:rsidP="00456ECC">
            <w:pPr>
              <w:rPr>
                <w:b/>
              </w:rPr>
            </w:pPr>
            <w:r w:rsidRPr="00312350">
              <w:rPr>
                <w:b/>
              </w:rPr>
              <w:t>4</w:t>
            </w:r>
          </w:p>
        </w:tc>
        <w:tc>
          <w:tcPr>
            <w:tcW w:w="8595" w:type="dxa"/>
          </w:tcPr>
          <w:p w:rsidR="00DA63DA" w:rsidRPr="00553E39" w:rsidRDefault="00312350" w:rsidP="00456ECC">
            <w:pPr>
              <w:rPr>
                <w:b/>
              </w:rPr>
            </w:pPr>
            <w:r w:rsidRPr="00312350">
              <w:rPr>
                <w:b/>
              </w:rPr>
              <w:t>MINUTES</w:t>
            </w:r>
            <w:r w:rsidR="00553E39">
              <w:rPr>
                <w:b/>
              </w:rPr>
              <w:br/>
            </w:r>
            <w:r w:rsidR="00DA63DA">
              <w:t>The minutes of the meetings of 25</w:t>
            </w:r>
            <w:r w:rsidR="00DA63DA" w:rsidRPr="00DA63DA">
              <w:rPr>
                <w:vertAlign w:val="superscript"/>
              </w:rPr>
              <w:t>th</w:t>
            </w:r>
            <w:r w:rsidR="00DA63DA">
              <w:t xml:space="preserve"> April and 13</w:t>
            </w:r>
            <w:r w:rsidR="00DA63DA" w:rsidRPr="00DA63DA">
              <w:rPr>
                <w:vertAlign w:val="superscript"/>
              </w:rPr>
              <w:t>th</w:t>
            </w:r>
            <w:r w:rsidR="00DA63DA">
              <w:t xml:space="preserve"> May 2016 were agreed to be correct, and were signed by Tony Hemmingway as Chairman of the Parish Council.</w:t>
            </w:r>
          </w:p>
        </w:tc>
      </w:tr>
      <w:tr w:rsidR="002D0A50" w:rsidTr="00E21F6D">
        <w:tc>
          <w:tcPr>
            <w:tcW w:w="456" w:type="dxa"/>
          </w:tcPr>
          <w:p w:rsidR="00D47B30" w:rsidRDefault="00312350" w:rsidP="001E738A">
            <w:pPr>
              <w:rPr>
                <w:b/>
              </w:rPr>
            </w:pPr>
            <w:r w:rsidRPr="00312350">
              <w:rPr>
                <w:b/>
              </w:rPr>
              <w:t>5</w:t>
            </w:r>
            <w:r w:rsidR="00553E39">
              <w:rPr>
                <w:b/>
              </w:rPr>
              <w:br/>
            </w:r>
            <w:r w:rsidR="00553E39" w:rsidRPr="00553E39">
              <w:t>5.1</w:t>
            </w:r>
            <w:r w:rsidR="00553E39">
              <w:rPr>
                <w:b/>
              </w:rPr>
              <w:br/>
            </w:r>
            <w:r w:rsidR="00553E39">
              <w:rPr>
                <w:b/>
              </w:rPr>
              <w:br/>
            </w:r>
            <w:r w:rsidR="00553E39">
              <w:rPr>
                <w:b/>
              </w:rPr>
              <w:br/>
            </w:r>
            <w:r w:rsidR="00553E39">
              <w:rPr>
                <w:b/>
              </w:rPr>
              <w:br/>
            </w:r>
          </w:p>
          <w:p w:rsidR="00553E39" w:rsidRPr="00D47B30" w:rsidRDefault="001E738A" w:rsidP="001E738A">
            <w:r>
              <w:lastRenderedPageBreak/>
              <w:t>5</w:t>
            </w:r>
            <w:r w:rsidR="00553E39" w:rsidRPr="00553E39">
              <w:t>.2</w:t>
            </w:r>
          </w:p>
        </w:tc>
        <w:tc>
          <w:tcPr>
            <w:tcW w:w="8595" w:type="dxa"/>
          </w:tcPr>
          <w:p w:rsidR="00553E39" w:rsidRDefault="00312350" w:rsidP="00456ECC">
            <w:r w:rsidRPr="00312350">
              <w:rPr>
                <w:b/>
              </w:rPr>
              <w:lastRenderedPageBreak/>
              <w:t>MATTERS ARISING</w:t>
            </w:r>
            <w:r w:rsidR="00553E39">
              <w:rPr>
                <w:b/>
              </w:rPr>
              <w:br/>
            </w:r>
            <w:r w:rsidR="009476D1">
              <w:t>Members of the Fletcher Room C</w:t>
            </w:r>
            <w:r w:rsidR="00553E39">
              <w:t>ommittee m</w:t>
            </w:r>
            <w:r w:rsidR="009476D1">
              <w:t xml:space="preserve">et with two companies who </w:t>
            </w:r>
            <w:r w:rsidR="00553E39">
              <w:t>offer</w:t>
            </w:r>
            <w:r w:rsidR="009476D1">
              <w:t>ed to do</w:t>
            </w:r>
            <w:r w:rsidR="00553E39">
              <w:t xml:space="preserve"> a feasibility stud</w:t>
            </w:r>
            <w:r w:rsidR="009476D1">
              <w:t>y into the options for extending the provision for the pre-school and other community use. It was agreed to defer a decision on the feasibility study until there has been a reply from</w:t>
            </w:r>
            <w:r w:rsidR="00553E39">
              <w:t xml:space="preserve"> Norfolk County Council </w:t>
            </w:r>
            <w:r w:rsidR="009476D1">
              <w:t xml:space="preserve">as to whether </w:t>
            </w:r>
            <w:r w:rsidR="00553E39">
              <w:t>they would extend the lease, or would sell the land currently leased for the Fletcher Room.</w:t>
            </w:r>
          </w:p>
          <w:p w:rsidR="00553E39" w:rsidRPr="00553E39" w:rsidRDefault="009476D1" w:rsidP="009476D1">
            <w:r>
              <w:lastRenderedPageBreak/>
              <w:t>The volunteers’ w</w:t>
            </w:r>
            <w:r w:rsidR="00553E39">
              <w:t xml:space="preserve">ork at </w:t>
            </w:r>
            <w:r>
              <w:t xml:space="preserve">the </w:t>
            </w:r>
            <w:r w:rsidR="00553E39">
              <w:t xml:space="preserve">allotments </w:t>
            </w:r>
            <w:r>
              <w:t xml:space="preserve">was reported to be </w:t>
            </w:r>
            <w:r w:rsidR="00553E39">
              <w:t xml:space="preserve">very successful. </w:t>
            </w:r>
            <w:r>
              <w:t>The s</w:t>
            </w:r>
            <w:r w:rsidR="00553E39">
              <w:t xml:space="preserve">econd session </w:t>
            </w:r>
            <w:r>
              <w:t xml:space="preserve">is </w:t>
            </w:r>
            <w:r w:rsidR="00553E39">
              <w:t>on 25</w:t>
            </w:r>
            <w:r w:rsidR="00553E39" w:rsidRPr="00553E39">
              <w:rPr>
                <w:vertAlign w:val="superscript"/>
              </w:rPr>
              <w:t>th</w:t>
            </w:r>
            <w:r w:rsidR="00553E39">
              <w:t xml:space="preserve"> May</w:t>
            </w:r>
            <w:r>
              <w:t>.</w:t>
            </w:r>
          </w:p>
        </w:tc>
      </w:tr>
      <w:tr w:rsidR="0052106D" w:rsidTr="00E21F6D">
        <w:tc>
          <w:tcPr>
            <w:tcW w:w="456" w:type="dxa"/>
          </w:tcPr>
          <w:p w:rsidR="0052106D" w:rsidRPr="0052106D" w:rsidRDefault="0052106D" w:rsidP="001E738A">
            <w:r w:rsidRPr="0052106D">
              <w:lastRenderedPageBreak/>
              <w:t>5.3</w:t>
            </w:r>
          </w:p>
        </w:tc>
        <w:tc>
          <w:tcPr>
            <w:tcW w:w="8595" w:type="dxa"/>
          </w:tcPr>
          <w:p w:rsidR="0052106D" w:rsidRPr="0052106D" w:rsidRDefault="0052106D" w:rsidP="00456ECC">
            <w:r>
              <w:t>Broadland District Council planning enforcement department is dealing with the new fence in Englands Road. The estate has an open plan condition on it so any fences or walls to the front require planning permission.</w:t>
            </w:r>
          </w:p>
        </w:tc>
      </w:tr>
      <w:tr w:rsidR="002D0A50" w:rsidTr="00E21F6D">
        <w:tc>
          <w:tcPr>
            <w:tcW w:w="456" w:type="dxa"/>
          </w:tcPr>
          <w:p w:rsidR="002D6C99" w:rsidRDefault="00312350" w:rsidP="002D6C99">
            <w:r w:rsidRPr="00312350">
              <w:rPr>
                <w:b/>
              </w:rPr>
              <w:t>6</w:t>
            </w:r>
            <w:r w:rsidR="001E738A">
              <w:rPr>
                <w:b/>
              </w:rPr>
              <w:br/>
            </w:r>
            <w:r w:rsidR="00553E39">
              <w:t>6.1</w:t>
            </w:r>
          </w:p>
          <w:p w:rsidR="002D6C99" w:rsidRDefault="002D6C99" w:rsidP="002D6C99"/>
          <w:p w:rsidR="002D6C99" w:rsidRDefault="002D6C99" w:rsidP="002D6C99"/>
          <w:p w:rsidR="002D6C99" w:rsidRDefault="002D6C99" w:rsidP="002D6C99"/>
          <w:p w:rsidR="008A313B" w:rsidRPr="002D6C99" w:rsidRDefault="002D6C99" w:rsidP="002D6C99">
            <w:r>
              <w:br/>
              <w:t>6.</w:t>
            </w:r>
            <w:r w:rsidR="008A313B">
              <w:t>2</w:t>
            </w:r>
            <w:r w:rsidR="008A313B">
              <w:br/>
            </w:r>
            <w:r w:rsidR="008A313B">
              <w:br/>
              <w:t>6.3</w:t>
            </w:r>
            <w:r w:rsidR="008A313B">
              <w:br/>
            </w:r>
            <w:r w:rsidR="008A313B">
              <w:br/>
            </w:r>
            <w:r w:rsidR="009A6FAC">
              <w:br/>
            </w:r>
            <w:r w:rsidR="008A313B">
              <w:t>6.4</w:t>
            </w:r>
            <w:r w:rsidR="008A313B">
              <w:br/>
            </w:r>
            <w:r w:rsidR="008A313B">
              <w:br/>
            </w:r>
            <w:r w:rsidR="008A313B">
              <w:br/>
              <w:t>6.5</w:t>
            </w:r>
            <w:r w:rsidR="008A313B">
              <w:br/>
            </w:r>
            <w:r w:rsidR="008A313B">
              <w:br/>
            </w:r>
            <w:r w:rsidR="008A313B">
              <w:br/>
              <w:t>6.6</w:t>
            </w:r>
            <w:r w:rsidR="00B84C9F">
              <w:br/>
            </w:r>
            <w:r w:rsidR="00B84C9F">
              <w:br/>
            </w:r>
            <w:r w:rsidR="00B84C9F">
              <w:br/>
            </w:r>
            <w:r w:rsidR="00B84C9F">
              <w:br/>
            </w:r>
            <w:r w:rsidR="00B84C9F">
              <w:br/>
              <w:t>6.7</w:t>
            </w:r>
            <w:r w:rsidR="008A313B">
              <w:br/>
            </w:r>
          </w:p>
        </w:tc>
        <w:tc>
          <w:tcPr>
            <w:tcW w:w="8595" w:type="dxa"/>
          </w:tcPr>
          <w:p w:rsidR="00553E39" w:rsidRPr="001E738A" w:rsidRDefault="00312350" w:rsidP="002D6C99">
            <w:pPr>
              <w:rPr>
                <w:b/>
              </w:rPr>
            </w:pPr>
            <w:r w:rsidRPr="00312350">
              <w:rPr>
                <w:b/>
              </w:rPr>
              <w:t>CORRESPONDENCE</w:t>
            </w:r>
            <w:r w:rsidR="001E738A">
              <w:rPr>
                <w:b/>
              </w:rPr>
              <w:br/>
            </w:r>
            <w:r w:rsidR="001E738A">
              <w:t>Acle Allotment</w:t>
            </w:r>
            <w:r w:rsidR="008A313B">
              <w:t xml:space="preserve"> Association</w:t>
            </w:r>
            <w:r w:rsidR="009476D1">
              <w:t xml:space="preserve"> sent a </w:t>
            </w:r>
            <w:r w:rsidR="008A313B">
              <w:t xml:space="preserve">request for assistance with the purchase of a powered wheelbarrow for the general use of all members, </w:t>
            </w:r>
            <w:r w:rsidR="009476D1">
              <w:t>at a c</w:t>
            </w:r>
            <w:r w:rsidR="008A313B">
              <w:t>ost £1</w:t>
            </w:r>
            <w:r w:rsidR="009476D1">
              <w:t>,</w:t>
            </w:r>
            <w:r w:rsidR="008A313B">
              <w:t xml:space="preserve">150 including VAT. The clerk </w:t>
            </w:r>
            <w:r w:rsidR="009476D1">
              <w:t xml:space="preserve">had </w:t>
            </w:r>
            <w:r w:rsidR="008A313B">
              <w:t>requeste</w:t>
            </w:r>
            <w:r w:rsidR="00D27C40">
              <w:t xml:space="preserve">d a copy of the latest accounts, which showed £2,838 for the 2015 Accounts, </w:t>
            </w:r>
            <w:r w:rsidR="008A313B">
              <w:t xml:space="preserve">the </w:t>
            </w:r>
            <w:r w:rsidR="00CE5DA9">
              <w:t>Association’s</w:t>
            </w:r>
            <w:r w:rsidR="008A313B">
              <w:t xml:space="preserve"> rules, and details of the current committee.</w:t>
            </w:r>
            <w:r w:rsidR="002D6C99">
              <w:t xml:space="preserve">  After some discussion it was agreed to invite a member of the Committee to attend the next meeting and to ask whether fundraising had been done and whether other grants had been applied for.</w:t>
            </w:r>
          </w:p>
          <w:p w:rsidR="00553E39" w:rsidRPr="00312350" w:rsidRDefault="009A6FAC" w:rsidP="002D6C99">
            <w:pPr>
              <w:rPr>
                <w:b/>
              </w:rPr>
            </w:pPr>
            <w:r>
              <w:t>It was agreed to r</w:t>
            </w:r>
            <w:r w:rsidR="008A313B">
              <w:t xml:space="preserve">enew </w:t>
            </w:r>
            <w:r>
              <w:t xml:space="preserve">the subscription to </w:t>
            </w:r>
            <w:r w:rsidR="008A313B">
              <w:t>Community Action Norfolk</w:t>
            </w:r>
            <w:r>
              <w:t xml:space="preserve"> at </w:t>
            </w:r>
            <w:r w:rsidR="008A313B">
              <w:t>£20</w:t>
            </w:r>
            <w:r>
              <w:t>.</w:t>
            </w:r>
            <w:r w:rsidR="008A313B">
              <w:br/>
            </w:r>
            <w:r w:rsidR="008A313B">
              <w:br/>
            </w:r>
            <w:r>
              <w:t>It was decided not to r</w:t>
            </w:r>
            <w:r w:rsidR="008A313B">
              <w:t xml:space="preserve">enew </w:t>
            </w:r>
            <w:r>
              <w:t xml:space="preserve">the subscription to the </w:t>
            </w:r>
            <w:r w:rsidR="008A313B">
              <w:t>N</w:t>
            </w:r>
            <w:r>
              <w:t>or</w:t>
            </w:r>
            <w:r w:rsidR="008A313B">
              <w:t>f</w:t>
            </w:r>
            <w:r>
              <w:t>ol</w:t>
            </w:r>
            <w:r w:rsidR="008A313B">
              <w:t xml:space="preserve">k </w:t>
            </w:r>
            <w:r w:rsidR="00CE5DA9">
              <w:t>Association</w:t>
            </w:r>
            <w:r w:rsidR="008A313B">
              <w:t xml:space="preserve"> of Local Councils </w:t>
            </w:r>
            <w:r>
              <w:t>at £407.05.</w:t>
            </w:r>
            <w:r w:rsidR="008A313B">
              <w:br/>
            </w:r>
            <w:r w:rsidR="008A313B">
              <w:br/>
              <w:t xml:space="preserve">John Gallop </w:t>
            </w:r>
            <w:r>
              <w:t xml:space="preserve">sent a report that he had </w:t>
            </w:r>
            <w:r w:rsidR="008A313B">
              <w:t xml:space="preserve">carried out the internal audit and had no matters to bring to the attention of the </w:t>
            </w:r>
            <w:r w:rsidR="00CE5DA9">
              <w:t>Council</w:t>
            </w:r>
            <w:r w:rsidR="002D6C99">
              <w:t>.</w:t>
            </w:r>
            <w:r w:rsidR="002D6C99">
              <w:br/>
            </w:r>
            <w:r w:rsidR="002D6C99">
              <w:br/>
              <w:t>The clerk reported</w:t>
            </w:r>
            <w:r>
              <w:t xml:space="preserve"> that Caister-on-</w:t>
            </w:r>
            <w:r w:rsidR="008A313B">
              <w:t xml:space="preserve">Sea </w:t>
            </w:r>
            <w:r w:rsidR="00CE5DA9">
              <w:t>Parish</w:t>
            </w:r>
            <w:r w:rsidR="008A313B">
              <w:t xml:space="preserve"> </w:t>
            </w:r>
            <w:r w:rsidR="00CE5DA9">
              <w:t>Council</w:t>
            </w:r>
            <w:r w:rsidR="008A313B">
              <w:t xml:space="preserve"> pay the YMCA to run their youth club</w:t>
            </w:r>
            <w:r>
              <w:t>. The clerk was asked to contact the YMCA to ask about their fees.</w:t>
            </w:r>
            <w:r w:rsidR="008A313B">
              <w:br/>
            </w:r>
            <w:r w:rsidR="008A313B">
              <w:br/>
              <w:t xml:space="preserve">Acle Lands Trust sent a copy of their insurance for the coming year, for information. </w:t>
            </w:r>
            <w:r w:rsidR="00B84C9F">
              <w:t xml:space="preserve">Works are planned for the land in Damgate. </w:t>
            </w:r>
            <w:r w:rsidR="008A313B">
              <w:t xml:space="preserve">The clerk wrote </w:t>
            </w:r>
            <w:r w:rsidR="00B84C9F">
              <w:t xml:space="preserve">to Mr Allen </w:t>
            </w:r>
            <w:r w:rsidR="008A313B">
              <w:t xml:space="preserve">to renew the Council’s licence to rent land as part of the footpath in Damgate, </w:t>
            </w:r>
            <w:r w:rsidR="002D6C99">
              <w:t xml:space="preserve">at </w:t>
            </w:r>
            <w:r w:rsidR="008A313B">
              <w:t xml:space="preserve">£40pa for the 10 years to </w:t>
            </w:r>
            <w:r w:rsidR="00B84C9F">
              <w:t>July 2024.</w:t>
            </w:r>
            <w:r w:rsidR="00B84C9F">
              <w:br/>
            </w:r>
            <w:r w:rsidR="00B84C9F">
              <w:br/>
            </w:r>
            <w:r w:rsidR="002D6C99">
              <w:t>The Police website listed</w:t>
            </w:r>
            <w:r w:rsidR="00B84C9F">
              <w:t xml:space="preserve"> 15 reported crimes in March 2016.</w:t>
            </w:r>
          </w:p>
        </w:tc>
      </w:tr>
      <w:tr w:rsidR="002D0A50" w:rsidTr="00E21F6D">
        <w:tc>
          <w:tcPr>
            <w:tcW w:w="456" w:type="dxa"/>
          </w:tcPr>
          <w:p w:rsidR="00077041" w:rsidRPr="002D6C99" w:rsidRDefault="00312350" w:rsidP="00456ECC">
            <w:pPr>
              <w:rPr>
                <w:b/>
              </w:rPr>
            </w:pPr>
            <w:r w:rsidRPr="00312350">
              <w:rPr>
                <w:b/>
              </w:rPr>
              <w:t>7</w:t>
            </w:r>
            <w:r w:rsidR="002D6C99">
              <w:rPr>
                <w:b/>
              </w:rPr>
              <w:br/>
            </w:r>
            <w:r w:rsidR="00077041" w:rsidRPr="00077041">
              <w:t>7.1</w:t>
            </w:r>
          </w:p>
        </w:tc>
        <w:tc>
          <w:tcPr>
            <w:tcW w:w="8595" w:type="dxa"/>
          </w:tcPr>
          <w:p w:rsidR="00B84C9F" w:rsidRPr="00312350" w:rsidRDefault="00312350" w:rsidP="002D6C99">
            <w:pPr>
              <w:rPr>
                <w:b/>
              </w:rPr>
            </w:pPr>
            <w:r w:rsidRPr="00312350">
              <w:rPr>
                <w:b/>
              </w:rPr>
              <w:t>PLANNING</w:t>
            </w:r>
            <w:r w:rsidR="002D6C99">
              <w:rPr>
                <w:b/>
              </w:rPr>
              <w:br/>
            </w:r>
            <w:proofErr w:type="spellStart"/>
            <w:r w:rsidR="00077041">
              <w:rPr>
                <w:b/>
              </w:rPr>
              <w:t>Planning</w:t>
            </w:r>
            <w:proofErr w:type="spellEnd"/>
            <w:r w:rsidR="00077041">
              <w:rPr>
                <w:b/>
              </w:rPr>
              <w:t xml:space="preserve"> results from Broadland District Council</w:t>
            </w:r>
            <w:proofErr w:type="gramStart"/>
            <w:r w:rsidR="00077041">
              <w:rPr>
                <w:b/>
              </w:rPr>
              <w:t>:</w:t>
            </w:r>
            <w:proofErr w:type="gramEnd"/>
            <w:r w:rsidR="00077041">
              <w:rPr>
                <w:b/>
              </w:rPr>
              <w:br/>
            </w:r>
            <w:r w:rsidR="00077041" w:rsidRPr="00077041">
              <w:t>i)</w:t>
            </w:r>
            <w:r w:rsidR="00077041">
              <w:t xml:space="preserve"> 8 Englands Road – single storey front extension (20160547). Refusal.</w:t>
            </w:r>
          </w:p>
        </w:tc>
      </w:tr>
      <w:tr w:rsidR="002D0A50" w:rsidTr="00E21F6D">
        <w:tc>
          <w:tcPr>
            <w:tcW w:w="456" w:type="dxa"/>
          </w:tcPr>
          <w:p w:rsidR="002D0A50" w:rsidRDefault="00312350" w:rsidP="00456ECC">
            <w:r w:rsidRPr="00312350">
              <w:rPr>
                <w:b/>
              </w:rPr>
              <w:t>8</w:t>
            </w:r>
            <w:r w:rsidR="00077041">
              <w:rPr>
                <w:b/>
              </w:rPr>
              <w:br/>
            </w:r>
            <w:r w:rsidR="00077041" w:rsidRPr="00077041">
              <w:t>8.1</w:t>
            </w:r>
            <w:r w:rsidR="00077041">
              <w:br/>
            </w:r>
            <w:r w:rsidR="00077041">
              <w:br/>
            </w:r>
            <w:r w:rsidR="008D5CF8">
              <w:br/>
            </w:r>
            <w:r w:rsidR="008D5CF8">
              <w:br/>
            </w:r>
            <w:r w:rsidR="00077041">
              <w:t>8.2</w:t>
            </w:r>
            <w:r w:rsidR="00077041">
              <w:br/>
            </w:r>
            <w:r w:rsidR="00077041">
              <w:lastRenderedPageBreak/>
              <w:br/>
              <w:t>8.3</w:t>
            </w:r>
            <w:r w:rsidR="00077041">
              <w:br/>
            </w:r>
            <w:r w:rsidR="00077041">
              <w:br/>
            </w:r>
            <w:r w:rsidR="008D5CF8">
              <w:br/>
            </w:r>
            <w:r w:rsidR="00077041">
              <w:t>8.4</w:t>
            </w:r>
            <w:r w:rsidR="00077041">
              <w:br/>
            </w:r>
            <w:r w:rsidR="00077041">
              <w:br/>
            </w:r>
            <w:r w:rsidR="008D5CF8">
              <w:br/>
            </w:r>
            <w:r w:rsidR="008D5CF8">
              <w:br/>
            </w:r>
            <w:r w:rsidR="008D5CF8">
              <w:br/>
            </w:r>
            <w:r w:rsidR="00077041">
              <w:t>8.5</w:t>
            </w:r>
          </w:p>
          <w:p w:rsidR="008D5CF8" w:rsidRDefault="008D5CF8" w:rsidP="00456ECC"/>
          <w:p w:rsidR="008D5CF8" w:rsidRDefault="008D5CF8" w:rsidP="00456ECC"/>
          <w:p w:rsidR="008D5CF8" w:rsidRPr="00312350" w:rsidRDefault="008D5CF8" w:rsidP="00456ECC">
            <w:pPr>
              <w:rPr>
                <w:b/>
              </w:rPr>
            </w:pPr>
            <w:r>
              <w:t>8.6</w:t>
            </w:r>
          </w:p>
        </w:tc>
        <w:tc>
          <w:tcPr>
            <w:tcW w:w="8595" w:type="dxa"/>
          </w:tcPr>
          <w:p w:rsidR="00077041" w:rsidRPr="00312350" w:rsidRDefault="00312350" w:rsidP="00630BC5">
            <w:pPr>
              <w:rPr>
                <w:b/>
              </w:rPr>
            </w:pPr>
            <w:r w:rsidRPr="00312350">
              <w:rPr>
                <w:b/>
              </w:rPr>
              <w:lastRenderedPageBreak/>
              <w:t>HIGHWAYS MATTERS</w:t>
            </w:r>
            <w:r w:rsidR="00077041">
              <w:rPr>
                <w:b/>
              </w:rPr>
              <w:br/>
            </w:r>
            <w:r w:rsidR="00077041" w:rsidRPr="00077041">
              <w:t>Street lights</w:t>
            </w:r>
            <w:r w:rsidR="008D5CF8">
              <w:t xml:space="preserve"> - </w:t>
            </w:r>
            <w:r w:rsidR="002D6C99">
              <w:t xml:space="preserve">The contractor has carried out the annual clean and check of </w:t>
            </w:r>
            <w:r w:rsidR="008D5CF8">
              <w:t xml:space="preserve">lights. There is a </w:t>
            </w:r>
            <w:r w:rsidR="00077041">
              <w:t xml:space="preserve">list </w:t>
            </w:r>
            <w:r w:rsidR="008D5CF8">
              <w:t>of upgrades and repairs needed. It was agreed that the lighting committee would consider which works to have done.</w:t>
            </w:r>
            <w:r w:rsidR="00077041">
              <w:br/>
            </w:r>
            <w:r w:rsidR="00077041">
              <w:br/>
            </w:r>
            <w:r w:rsidR="00077041" w:rsidRPr="00077041">
              <w:t>Signage</w:t>
            </w:r>
            <w:r w:rsidR="008D5CF8">
              <w:t xml:space="preserve"> – nothing to report.</w:t>
            </w:r>
            <w:r w:rsidR="008D5CF8">
              <w:br/>
            </w:r>
            <w:r w:rsidR="008D5CF8">
              <w:lastRenderedPageBreak/>
              <w:br/>
              <w:t>Trees – there was some discussion about planting an oak somewhere in the village, given that Acle means “in the lea of the oaks”.</w:t>
            </w:r>
            <w:r w:rsidR="00077041">
              <w:br/>
            </w:r>
            <w:r w:rsidR="00077041">
              <w:br/>
            </w:r>
            <w:r w:rsidR="00077041" w:rsidRPr="00077041">
              <w:t xml:space="preserve">Acle in Bloom </w:t>
            </w:r>
            <w:r w:rsidR="008D5CF8">
              <w:t>–</w:t>
            </w:r>
            <w:r w:rsidR="00077041">
              <w:rPr>
                <w:b/>
              </w:rPr>
              <w:t xml:space="preserve"> </w:t>
            </w:r>
            <w:r w:rsidR="008D5CF8">
              <w:t>Jackie Clover reported that she will start planting up the baskets shortly. Tony Hemmingway offered to speak to the army cadets to see if they would like to do the watering this year. The brackets on the lampposts will be checked when the baskets are hung.</w:t>
            </w:r>
            <w:r w:rsidR="00077041">
              <w:rPr>
                <w:b/>
              </w:rPr>
              <w:br/>
            </w:r>
            <w:r w:rsidR="00077041">
              <w:rPr>
                <w:b/>
              </w:rPr>
              <w:br/>
            </w:r>
            <w:r w:rsidR="00077041" w:rsidRPr="00077041">
              <w:t>Dog litter bin –</w:t>
            </w:r>
            <w:r w:rsidR="00077041">
              <w:t xml:space="preserve"> BDC </w:t>
            </w:r>
            <w:r w:rsidR="008D5CF8">
              <w:t xml:space="preserve">had </w:t>
            </w:r>
            <w:r w:rsidR="00077041">
              <w:t>refused to replace the bin which was on Norwich Road</w:t>
            </w:r>
            <w:r w:rsidR="008D5CF8">
              <w:t xml:space="preserve"> near to the permissive path across the field to the back of the Academy. It was therefore agreed to obtain a new dog litter bin and pay for it to be emptied as this is a </w:t>
            </w:r>
            <w:r w:rsidR="00C737C1">
              <w:t>popular dog walk.</w:t>
            </w:r>
            <w:r w:rsidR="00C737C1">
              <w:br/>
            </w:r>
            <w:r w:rsidR="00C737C1">
              <w:br/>
              <w:t>Various road markings</w:t>
            </w:r>
            <w:r w:rsidR="008D5CF8">
              <w:t xml:space="preserve"> in the village were reported to be faint. Dama</w:t>
            </w:r>
            <w:r w:rsidR="00630BC5">
              <w:t>ge to the A47 was also reported.</w:t>
            </w:r>
          </w:p>
        </w:tc>
      </w:tr>
      <w:tr w:rsidR="00312350" w:rsidTr="00E21F6D">
        <w:tc>
          <w:tcPr>
            <w:tcW w:w="456" w:type="dxa"/>
          </w:tcPr>
          <w:p w:rsidR="00312350" w:rsidRPr="00312350" w:rsidRDefault="00312350" w:rsidP="00456ECC">
            <w:pPr>
              <w:rPr>
                <w:b/>
              </w:rPr>
            </w:pPr>
            <w:r w:rsidRPr="00312350">
              <w:rPr>
                <w:b/>
              </w:rPr>
              <w:lastRenderedPageBreak/>
              <w:t>9</w:t>
            </w:r>
          </w:p>
        </w:tc>
        <w:tc>
          <w:tcPr>
            <w:tcW w:w="8595" w:type="dxa"/>
          </w:tcPr>
          <w:p w:rsidR="00312350" w:rsidRPr="00312350" w:rsidRDefault="00312350" w:rsidP="00630BC5">
            <w:pPr>
              <w:rPr>
                <w:b/>
              </w:rPr>
            </w:pPr>
            <w:r w:rsidRPr="00312350">
              <w:rPr>
                <w:b/>
              </w:rPr>
              <w:t>RECREATION CENTRE</w:t>
            </w:r>
            <w:r w:rsidR="00077041">
              <w:rPr>
                <w:b/>
              </w:rPr>
              <w:br/>
            </w:r>
            <w:r w:rsidR="00630BC5">
              <w:t>Barry Coveley gave a report; the grant application for a new roof was turned down. The committee is therefore considering instead a minimal repair. Further quotes are being obtained for the refurbishment of the main hall. There was some fire damage to the rear of the tennis courts.</w:t>
            </w:r>
          </w:p>
        </w:tc>
      </w:tr>
      <w:tr w:rsidR="00312350" w:rsidTr="00E21F6D">
        <w:tc>
          <w:tcPr>
            <w:tcW w:w="456" w:type="dxa"/>
          </w:tcPr>
          <w:p w:rsidR="00312350" w:rsidRPr="00312350" w:rsidRDefault="00312350" w:rsidP="00456ECC">
            <w:pPr>
              <w:rPr>
                <w:b/>
              </w:rPr>
            </w:pPr>
            <w:r w:rsidRPr="00312350">
              <w:rPr>
                <w:b/>
              </w:rPr>
              <w:t>10</w:t>
            </w:r>
          </w:p>
        </w:tc>
        <w:tc>
          <w:tcPr>
            <w:tcW w:w="8595" w:type="dxa"/>
          </w:tcPr>
          <w:p w:rsidR="00077041" w:rsidRDefault="00312350" w:rsidP="00456ECC">
            <w:r w:rsidRPr="00312350">
              <w:rPr>
                <w:b/>
              </w:rPr>
              <w:t>BARCLAYS BANK BUILDING</w:t>
            </w:r>
            <w:r w:rsidR="00077041">
              <w:rPr>
                <w:b/>
              </w:rPr>
              <w:br/>
            </w:r>
            <w:r w:rsidR="00077041">
              <w:t>Further to the extra meeting on 13</w:t>
            </w:r>
            <w:r w:rsidR="00077041" w:rsidRPr="00077041">
              <w:rPr>
                <w:vertAlign w:val="superscript"/>
              </w:rPr>
              <w:t>th</w:t>
            </w:r>
            <w:r w:rsidR="00077041">
              <w:t xml:space="preserve"> May, the Council was successful in bidding for the Barclays Bank building in The Street, at £375,000 + fees.</w:t>
            </w:r>
          </w:p>
          <w:p w:rsidR="00077041" w:rsidRDefault="00077041" w:rsidP="00456ECC">
            <w:r>
              <w:t>Mills &amp; Reeve did a review of the auction papers and will do the legal w</w:t>
            </w:r>
            <w:r w:rsidR="00630BC5">
              <w:t xml:space="preserve">ork for the completion. This was noted. </w:t>
            </w:r>
            <w:r>
              <w:t xml:space="preserve">Tony Hemmingway and </w:t>
            </w:r>
            <w:r w:rsidR="00630BC5">
              <w:t xml:space="preserve">Barry Coveley were authorised to sign the legal paperwork to complete the sale. The clerk will </w:t>
            </w:r>
            <w:r w:rsidR="00A2523D">
              <w:t xml:space="preserve">arrange to </w:t>
            </w:r>
            <w:r w:rsidR="00630BC5">
              <w:t>transfer the money to Mills &amp; Reeve’s client account.</w:t>
            </w:r>
          </w:p>
          <w:p w:rsidR="00077041" w:rsidRDefault="00077041" w:rsidP="00456ECC">
            <w:r>
              <w:t>The building has been insured via the Council’s insurance broker within the Property Damage – All Risks and Theft sections of the Aviva policy. There is a £250 excess and there is no cover for damage due to subsidence, heave or landslip.</w:t>
            </w:r>
            <w:r w:rsidR="00E27DDC">
              <w:t xml:space="preserve"> It was agreed to increase the cover to insure the building for subsidence, heave or landslip, if this is possible.</w:t>
            </w:r>
          </w:p>
          <w:p w:rsidR="00077041" w:rsidRDefault="00E27DDC" w:rsidP="00456ECC">
            <w:r>
              <w:t>It was agreed to commission a full survey so as to find out short-term and longer-term works needed, at £1,500</w:t>
            </w:r>
            <w:r w:rsidR="00F12526">
              <w:t>,</w:t>
            </w:r>
            <w:r>
              <w:t xml:space="preserve"> with Brown &amp; Co.</w:t>
            </w:r>
          </w:p>
          <w:p w:rsidR="00E27DDC" w:rsidRDefault="00E27DDC" w:rsidP="00456ECC">
            <w:r>
              <w:t xml:space="preserve">Brown &amp; Co had also quoted to provide management services for the building. This was not felt to be necessary at present but it was agreed that professional services would be obtained if the clerk or councillors felt the work to be outside their experience or knowledge. </w:t>
            </w:r>
          </w:p>
          <w:p w:rsidR="00D77AED" w:rsidRDefault="00E27DDC" w:rsidP="00456ECC">
            <w:r>
              <w:lastRenderedPageBreak/>
              <w:t>The clerk will make contact with the tenants once the sale is completed.</w:t>
            </w:r>
          </w:p>
          <w:p w:rsidR="00312350" w:rsidRPr="00312350" w:rsidRDefault="00E27DDC" w:rsidP="00E27DDC">
            <w:pPr>
              <w:rPr>
                <w:b/>
              </w:rPr>
            </w:pPr>
            <w:r>
              <w:t>It was agreed to set up a committee to manage the building comprising Tony Hemmingway, Angela Bishop, Ellen Thompson and Jamie Pizey, with a budget of £500 for minor maintenance.</w:t>
            </w:r>
          </w:p>
        </w:tc>
      </w:tr>
      <w:tr w:rsidR="00312350" w:rsidTr="00E21F6D">
        <w:tc>
          <w:tcPr>
            <w:tcW w:w="456" w:type="dxa"/>
          </w:tcPr>
          <w:p w:rsidR="00312350" w:rsidRPr="00312350" w:rsidRDefault="00312350" w:rsidP="00456ECC">
            <w:pPr>
              <w:rPr>
                <w:b/>
              </w:rPr>
            </w:pPr>
            <w:r w:rsidRPr="00312350">
              <w:rPr>
                <w:b/>
              </w:rPr>
              <w:lastRenderedPageBreak/>
              <w:t>11</w:t>
            </w:r>
          </w:p>
        </w:tc>
        <w:tc>
          <w:tcPr>
            <w:tcW w:w="8595" w:type="dxa"/>
          </w:tcPr>
          <w:p w:rsidR="00D77AED" w:rsidRPr="00F50B82" w:rsidRDefault="00312350" w:rsidP="00456ECC">
            <w:pPr>
              <w:rPr>
                <w:b/>
              </w:rPr>
            </w:pPr>
            <w:r w:rsidRPr="00312350">
              <w:rPr>
                <w:b/>
              </w:rPr>
              <w:t>SPRINGFIELD LAND</w:t>
            </w:r>
            <w:r w:rsidR="00F50B82">
              <w:rPr>
                <w:b/>
              </w:rPr>
              <w:br/>
            </w:r>
            <w:r w:rsidR="00E27DDC">
              <w:t>The owners had provided computer-</w:t>
            </w:r>
            <w:r w:rsidR="00D77AED" w:rsidRPr="00D77AED">
              <w:t>generated images of the houses</w:t>
            </w:r>
            <w:r w:rsidR="00E27DDC">
              <w:t xml:space="preserve"> for the councillors and public to see.  </w:t>
            </w:r>
            <w:r w:rsidR="00D77AED" w:rsidRPr="00D77AED">
              <w:t xml:space="preserve">Various reserved </w:t>
            </w:r>
            <w:r w:rsidR="00E27DDC">
              <w:t xml:space="preserve">planning </w:t>
            </w:r>
            <w:r w:rsidR="00D77AED" w:rsidRPr="00D77AED">
              <w:t xml:space="preserve">matters </w:t>
            </w:r>
            <w:r w:rsidR="00E27DDC">
              <w:t xml:space="preserve">have been completed </w:t>
            </w:r>
            <w:r w:rsidR="00D77AED" w:rsidRPr="00D77AED">
              <w:t>by Crocus Contractors</w:t>
            </w:r>
            <w:r w:rsidR="00F50B82">
              <w:t>.</w:t>
            </w:r>
          </w:p>
          <w:p w:rsidR="00D77AED" w:rsidRDefault="00D77AED" w:rsidP="00456ECC">
            <w:r w:rsidRPr="00D77AED">
              <w:t xml:space="preserve">Archaeological work has uncovered some interesting finds but none significant enough to delay work on the site. </w:t>
            </w:r>
            <w:r w:rsidR="001C311D">
              <w:t>Crocus plans to hold</w:t>
            </w:r>
            <w:r w:rsidRPr="00D77AED">
              <w:t xml:space="preserve"> an open event in the summer to show some of the finds</w:t>
            </w:r>
            <w:r w:rsidR="001C311D">
              <w:t>, at the same time as publicising the housing for the site.</w:t>
            </w:r>
          </w:p>
          <w:p w:rsidR="00D77AED" w:rsidRDefault="0019492A" w:rsidP="00456ECC">
            <w:r>
              <w:t xml:space="preserve">Crocus have commissioned the Surface Water Drainage Scheme on behalf of the Parish Council. The balancing pond will become the </w:t>
            </w:r>
            <w:r w:rsidR="00CE5DA9">
              <w:t>Parish</w:t>
            </w:r>
            <w:r>
              <w:t xml:space="preserve"> Council’s responsibility once it is completed. The on-site piping </w:t>
            </w:r>
            <w:r w:rsidR="001C311D">
              <w:t>will be adopted by Norfolk County Council</w:t>
            </w:r>
            <w:r>
              <w:t>.</w:t>
            </w:r>
            <w:r w:rsidR="00456ECC">
              <w:t xml:space="preserve"> </w:t>
            </w:r>
            <w:r w:rsidR="001C311D">
              <w:t>It was agreed to d</w:t>
            </w:r>
            <w:r w:rsidR="00CE5DA9">
              <w:t xml:space="preserve">elegate </w:t>
            </w:r>
            <w:r w:rsidR="001C311D">
              <w:t>approval of this Scheme to the working party, if appropriate.</w:t>
            </w:r>
          </w:p>
          <w:p w:rsidR="0019492A" w:rsidRDefault="0019492A" w:rsidP="00456ECC">
            <w:r>
              <w:t xml:space="preserve">Crocus will maintain the “pill box”, which will be </w:t>
            </w:r>
            <w:r w:rsidR="001C311D">
              <w:t>kept locked but the Parish Council will hold a key.</w:t>
            </w:r>
          </w:p>
          <w:p w:rsidR="0019492A" w:rsidRDefault="0019492A" w:rsidP="00456ECC">
            <w:r>
              <w:t xml:space="preserve">Crocus wishes to install some </w:t>
            </w:r>
            <w:proofErr w:type="spellStart"/>
            <w:r>
              <w:t>blockweave</w:t>
            </w:r>
            <w:proofErr w:type="spellEnd"/>
            <w:r>
              <w:t xml:space="preserve"> areas, which will be adopted by Norfolk County Council as part of the highway. </w:t>
            </w:r>
            <w:r w:rsidR="001C311D">
              <w:t>They m</w:t>
            </w:r>
            <w:r>
              <w:t xml:space="preserve">ay also increase </w:t>
            </w:r>
            <w:r w:rsidR="001C311D">
              <w:t xml:space="preserve">the </w:t>
            </w:r>
            <w:r>
              <w:t xml:space="preserve">energy efficiency of </w:t>
            </w:r>
            <w:r w:rsidR="001C311D">
              <w:t xml:space="preserve">some of the </w:t>
            </w:r>
            <w:r>
              <w:t>homes to Band A. The price of these works will affect the overage calculation</w:t>
            </w:r>
            <w:r w:rsidR="001C311D">
              <w:t>. It was agreed to meet with Crocus to negotiate the effect this would have on the Parish Council’s share of any uplift.</w:t>
            </w:r>
            <w:r>
              <w:t xml:space="preserve"> </w:t>
            </w:r>
            <w:r w:rsidR="001617BD">
              <w:t>Crocus have</w:t>
            </w:r>
            <w:r w:rsidR="001C311D">
              <w:t xml:space="preserve"> confirmed that a</w:t>
            </w:r>
            <w:r w:rsidR="00456ECC">
              <w:t xml:space="preserve"> 6ft close-boarded fence will be installed along the boundary with neighbouring houses.</w:t>
            </w:r>
          </w:p>
          <w:p w:rsidR="00456ECC" w:rsidRDefault="001C311D" w:rsidP="00456ECC">
            <w:r>
              <w:t>The contractors h</w:t>
            </w:r>
            <w:r w:rsidR="0019492A">
              <w:t xml:space="preserve">ope to </w:t>
            </w:r>
            <w:r w:rsidR="00456ECC">
              <w:t>start pouring foundations at the beginning of June.</w:t>
            </w:r>
          </w:p>
          <w:p w:rsidR="00456ECC" w:rsidRDefault="00456ECC" w:rsidP="00456ECC">
            <w:r>
              <w:t xml:space="preserve">There has been strong interest in the market housing.  </w:t>
            </w:r>
            <w:r w:rsidR="009020BB">
              <w:t xml:space="preserve">For the rented homes, </w:t>
            </w:r>
            <w:r>
              <w:t xml:space="preserve">Broadland District Council said that there are over 350 </w:t>
            </w:r>
            <w:r w:rsidR="00CE5DA9">
              <w:t>applicants</w:t>
            </w:r>
            <w:r>
              <w:t xml:space="preserve"> on the housing list showing Acle as one of their parishes of preference, with over 90 applicants with a local connection to Acle.</w:t>
            </w:r>
          </w:p>
          <w:p w:rsidR="00456ECC" w:rsidRDefault="009020BB" w:rsidP="00456ECC">
            <w:r>
              <w:t>There was some discussion about a r</w:t>
            </w:r>
            <w:r w:rsidR="00456ECC">
              <w:t>oad name</w:t>
            </w:r>
            <w:r>
              <w:t xml:space="preserve"> for one of the roads on the new development. Crocus had suggested Oaks Lea Avenue/Way/Close, or just Oaks Lea, to link to the meaning of the name Acle. Councillors were not against the name but suggested that a name to link to the archaeological importance of the site might be appropriate such as “Roman”, “Saxon” or similar. It was agreed to send various suggestions to Crocus.</w:t>
            </w:r>
          </w:p>
          <w:p w:rsidR="00D77AED" w:rsidRPr="00593159" w:rsidRDefault="009020BB" w:rsidP="00152984">
            <w:r>
              <w:t xml:space="preserve">Councillors </w:t>
            </w:r>
            <w:r w:rsidR="00152984">
              <w:t>we</w:t>
            </w:r>
            <w:r>
              <w:t>re invited to attend an e</w:t>
            </w:r>
            <w:r w:rsidR="00456ECC">
              <w:t xml:space="preserve">vent to celebrate </w:t>
            </w:r>
            <w:r>
              <w:t xml:space="preserve">the </w:t>
            </w:r>
            <w:r w:rsidR="00456ECC">
              <w:t>start on site on 20</w:t>
            </w:r>
            <w:r w:rsidR="00456ECC" w:rsidRPr="00456ECC">
              <w:rPr>
                <w:vertAlign w:val="superscript"/>
              </w:rPr>
              <w:t>th</w:t>
            </w:r>
            <w:r w:rsidR="00456ECC">
              <w:t xml:space="preserve"> June at 12 noon.</w:t>
            </w:r>
          </w:p>
        </w:tc>
      </w:tr>
      <w:tr w:rsidR="00312350" w:rsidTr="00E21F6D">
        <w:tc>
          <w:tcPr>
            <w:tcW w:w="516" w:type="dxa"/>
          </w:tcPr>
          <w:p w:rsidR="00312350" w:rsidRPr="00312350" w:rsidRDefault="00312350" w:rsidP="00456ECC">
            <w:pPr>
              <w:rPr>
                <w:b/>
              </w:rPr>
            </w:pPr>
            <w:r w:rsidRPr="00312350">
              <w:rPr>
                <w:b/>
              </w:rPr>
              <w:lastRenderedPageBreak/>
              <w:t>12</w:t>
            </w:r>
          </w:p>
        </w:tc>
        <w:tc>
          <w:tcPr>
            <w:tcW w:w="8595" w:type="dxa"/>
          </w:tcPr>
          <w:p w:rsidR="001B3662" w:rsidRPr="00593159" w:rsidRDefault="00312350" w:rsidP="00456ECC">
            <w:pPr>
              <w:rPr>
                <w:b/>
              </w:rPr>
            </w:pPr>
            <w:r w:rsidRPr="00312350">
              <w:rPr>
                <w:b/>
              </w:rPr>
              <w:t>ACCOUNTS AND ANNUAL RETURN</w:t>
            </w:r>
            <w:r w:rsidR="00593159">
              <w:rPr>
                <w:b/>
              </w:rPr>
              <w:br/>
            </w:r>
            <w:r w:rsidR="001B3662">
              <w:t>The clerk presented Actual v Budget information for the year ended 31</w:t>
            </w:r>
            <w:r w:rsidR="001B3662" w:rsidRPr="001B3662">
              <w:rPr>
                <w:vertAlign w:val="superscript"/>
              </w:rPr>
              <w:t>st</w:t>
            </w:r>
            <w:r w:rsidR="001B3662">
              <w:t xml:space="preserve"> March 2016, together with the Accounts for the same period. </w:t>
            </w:r>
          </w:p>
          <w:p w:rsidR="001B3662" w:rsidRDefault="001B3662" w:rsidP="00456ECC">
            <w:r>
              <w:t>The Accounts were approved and adopted.</w:t>
            </w:r>
          </w:p>
          <w:p w:rsidR="00456ECC" w:rsidRPr="00593159" w:rsidRDefault="001B3662" w:rsidP="00456ECC">
            <w:r>
              <w:t>The Annual Return Annual Governance Statement was considered and completed. The Accounting Statements were also approved and signed.</w:t>
            </w:r>
          </w:p>
        </w:tc>
      </w:tr>
      <w:tr w:rsidR="00312350" w:rsidTr="00E21F6D">
        <w:tc>
          <w:tcPr>
            <w:tcW w:w="516" w:type="dxa"/>
          </w:tcPr>
          <w:p w:rsidR="00312350" w:rsidRPr="00312350" w:rsidRDefault="00312350" w:rsidP="00456ECC">
            <w:pPr>
              <w:rPr>
                <w:b/>
              </w:rPr>
            </w:pPr>
            <w:r w:rsidRPr="00312350">
              <w:rPr>
                <w:b/>
              </w:rPr>
              <w:t>13</w:t>
            </w:r>
          </w:p>
        </w:tc>
        <w:tc>
          <w:tcPr>
            <w:tcW w:w="8595" w:type="dxa"/>
          </w:tcPr>
          <w:p w:rsidR="00312350" w:rsidRDefault="00312350" w:rsidP="00456ECC">
            <w:pPr>
              <w:rPr>
                <w:b/>
              </w:rPr>
            </w:pPr>
            <w:r w:rsidRPr="00312350">
              <w:rPr>
                <w:b/>
              </w:rPr>
              <w:t>FINANCE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52"/>
              <w:gridCol w:w="1567"/>
            </w:tblGrid>
            <w:tr w:rsidR="00312350" w:rsidTr="00690EA3">
              <w:tc>
                <w:tcPr>
                  <w:tcW w:w="2550" w:type="dxa"/>
                </w:tcPr>
                <w:p w:rsidR="00312350" w:rsidRPr="00456ECC" w:rsidRDefault="00312350" w:rsidP="00456ECC">
                  <w:pPr>
                    <w:pStyle w:val="NoSpacing"/>
                    <w:rPr>
                      <w:b/>
                    </w:rPr>
                  </w:pPr>
                  <w:r w:rsidRPr="00456ECC">
                    <w:rPr>
                      <w:b/>
                    </w:rPr>
                    <w:t>Receipts:</w:t>
                  </w:r>
                </w:p>
              </w:tc>
              <w:tc>
                <w:tcPr>
                  <w:tcW w:w="4252" w:type="dxa"/>
                </w:tcPr>
                <w:p w:rsidR="00312350" w:rsidRDefault="00312350" w:rsidP="00456ECC">
                  <w:pPr>
                    <w:pStyle w:val="NoSpacing"/>
                  </w:pPr>
                </w:p>
              </w:tc>
              <w:tc>
                <w:tcPr>
                  <w:tcW w:w="1567" w:type="dxa"/>
                </w:tcPr>
                <w:p w:rsidR="00312350" w:rsidRDefault="00593159" w:rsidP="00593159">
                  <w:pPr>
                    <w:pStyle w:val="NoSpacing"/>
                    <w:jc w:val="center"/>
                  </w:pPr>
                  <w:r>
                    <w:t xml:space="preserve">         </w:t>
                  </w:r>
                  <w:r w:rsidR="00DB762D">
                    <w:t>£</w:t>
                  </w:r>
                </w:p>
              </w:tc>
            </w:tr>
            <w:tr w:rsidR="00312350" w:rsidTr="00690EA3">
              <w:tc>
                <w:tcPr>
                  <w:tcW w:w="2550" w:type="dxa"/>
                </w:tcPr>
                <w:p w:rsidR="00312350" w:rsidRPr="00DB762D" w:rsidRDefault="00DB762D" w:rsidP="00456ECC">
                  <w:pPr>
                    <w:pStyle w:val="NoSpacing"/>
                  </w:pPr>
                  <w:r w:rsidRPr="00DB762D">
                    <w:t>Broadland DC</w:t>
                  </w:r>
                </w:p>
              </w:tc>
              <w:tc>
                <w:tcPr>
                  <w:tcW w:w="4252" w:type="dxa"/>
                </w:tcPr>
                <w:p w:rsidR="00312350" w:rsidRPr="00DB762D" w:rsidRDefault="00DB762D" w:rsidP="00456ECC">
                  <w:pPr>
                    <w:pStyle w:val="NoSpacing"/>
                  </w:pPr>
                  <w:r w:rsidRPr="00DB762D">
                    <w:t>1</w:t>
                  </w:r>
                  <w:r w:rsidRPr="00DB762D">
                    <w:rPr>
                      <w:vertAlign w:val="superscript"/>
                    </w:rPr>
                    <w:t>st</w:t>
                  </w:r>
                  <w:r w:rsidRPr="00DB762D">
                    <w:t xml:space="preserve"> half precept</w:t>
                  </w:r>
                </w:p>
              </w:tc>
              <w:tc>
                <w:tcPr>
                  <w:tcW w:w="1567" w:type="dxa"/>
                </w:tcPr>
                <w:p w:rsidR="00312350" w:rsidRPr="00DB762D" w:rsidRDefault="00DB762D" w:rsidP="00456ECC">
                  <w:pPr>
                    <w:pStyle w:val="NoSpacing"/>
                    <w:jc w:val="right"/>
                  </w:pPr>
                  <w:r w:rsidRPr="00DB762D">
                    <w:t>42,320.00</w:t>
                  </w:r>
                </w:p>
              </w:tc>
            </w:tr>
            <w:tr w:rsidR="00312350" w:rsidTr="00690EA3">
              <w:tc>
                <w:tcPr>
                  <w:tcW w:w="2550" w:type="dxa"/>
                </w:tcPr>
                <w:p w:rsidR="00312350" w:rsidRPr="00DB762D" w:rsidRDefault="00DB762D" w:rsidP="00456ECC">
                  <w:pPr>
                    <w:pStyle w:val="NoSpacing"/>
                  </w:pPr>
                  <w:r w:rsidRPr="00DB762D">
                    <w:t>Memorial fee</w:t>
                  </w:r>
                </w:p>
              </w:tc>
              <w:tc>
                <w:tcPr>
                  <w:tcW w:w="4252" w:type="dxa"/>
                </w:tcPr>
                <w:p w:rsidR="00312350" w:rsidRPr="00DB762D" w:rsidRDefault="00DB762D" w:rsidP="00456ECC">
                  <w:pPr>
                    <w:pStyle w:val="NoSpacing"/>
                  </w:pPr>
                  <w:r w:rsidRPr="00DB762D">
                    <w:t>Memorial fee</w:t>
                  </w:r>
                </w:p>
              </w:tc>
              <w:tc>
                <w:tcPr>
                  <w:tcW w:w="1567" w:type="dxa"/>
                </w:tcPr>
                <w:p w:rsidR="00312350" w:rsidRPr="00DB762D" w:rsidRDefault="00DB762D" w:rsidP="00456ECC">
                  <w:pPr>
                    <w:pStyle w:val="NoSpacing"/>
                    <w:jc w:val="right"/>
                  </w:pPr>
                  <w:r w:rsidRPr="00DB762D">
                    <w:t>120.00</w:t>
                  </w:r>
                </w:p>
              </w:tc>
            </w:tr>
            <w:tr w:rsidR="00312350" w:rsidTr="00690EA3">
              <w:tc>
                <w:tcPr>
                  <w:tcW w:w="2550" w:type="dxa"/>
                </w:tcPr>
                <w:p w:rsidR="00312350" w:rsidRPr="00456ECC" w:rsidRDefault="00312350" w:rsidP="00456ECC">
                  <w:pPr>
                    <w:pStyle w:val="NoSpacing"/>
                    <w:rPr>
                      <w:b/>
                    </w:rPr>
                  </w:pPr>
                  <w:r w:rsidRPr="00456ECC">
                    <w:rPr>
                      <w:b/>
                    </w:rPr>
                    <w:t>Direct debits:</w:t>
                  </w:r>
                </w:p>
              </w:tc>
              <w:tc>
                <w:tcPr>
                  <w:tcW w:w="4252" w:type="dxa"/>
                </w:tcPr>
                <w:p w:rsidR="00312350" w:rsidRDefault="00312350" w:rsidP="00456ECC">
                  <w:pPr>
                    <w:pStyle w:val="NoSpacing"/>
                  </w:pPr>
                </w:p>
              </w:tc>
              <w:tc>
                <w:tcPr>
                  <w:tcW w:w="1567" w:type="dxa"/>
                </w:tcPr>
                <w:p w:rsidR="00312350" w:rsidRDefault="00312350" w:rsidP="00456ECC">
                  <w:pPr>
                    <w:pStyle w:val="NoSpacing"/>
                    <w:jc w:val="right"/>
                  </w:pPr>
                </w:p>
              </w:tc>
            </w:tr>
            <w:tr w:rsidR="00312350" w:rsidTr="00690EA3">
              <w:tc>
                <w:tcPr>
                  <w:tcW w:w="2550" w:type="dxa"/>
                </w:tcPr>
                <w:p w:rsidR="00312350" w:rsidRPr="00312350" w:rsidRDefault="00312350" w:rsidP="00456ECC">
                  <w:pPr>
                    <w:pStyle w:val="NoSpacing"/>
                  </w:pPr>
                  <w:r w:rsidRPr="00312350">
                    <w:t>Veolia</w:t>
                  </w:r>
                </w:p>
              </w:tc>
              <w:tc>
                <w:tcPr>
                  <w:tcW w:w="4252" w:type="dxa"/>
                </w:tcPr>
                <w:p w:rsidR="00312350" w:rsidRPr="00312350" w:rsidRDefault="00312350" w:rsidP="00456ECC">
                  <w:pPr>
                    <w:pStyle w:val="NoSpacing"/>
                  </w:pPr>
                  <w:r w:rsidRPr="00312350">
                    <w:t>Skip hire</w:t>
                  </w:r>
                </w:p>
              </w:tc>
              <w:tc>
                <w:tcPr>
                  <w:tcW w:w="1567" w:type="dxa"/>
                </w:tcPr>
                <w:p w:rsidR="00312350" w:rsidRPr="00312350" w:rsidRDefault="00312350" w:rsidP="00456ECC">
                  <w:pPr>
                    <w:pStyle w:val="NoSpacing"/>
                    <w:jc w:val="right"/>
                  </w:pPr>
                  <w:r w:rsidRPr="00312350">
                    <w:t>173.10</w:t>
                  </w:r>
                </w:p>
              </w:tc>
            </w:tr>
            <w:tr w:rsidR="00312350" w:rsidTr="00690EA3">
              <w:tc>
                <w:tcPr>
                  <w:tcW w:w="2550" w:type="dxa"/>
                </w:tcPr>
                <w:p w:rsidR="00312350" w:rsidRPr="00312350" w:rsidRDefault="00312350" w:rsidP="00456ECC">
                  <w:pPr>
                    <w:pStyle w:val="NoSpacing"/>
                  </w:pPr>
                  <w:r w:rsidRPr="00312350">
                    <w:t>SWALEC</w:t>
                  </w:r>
                </w:p>
              </w:tc>
              <w:tc>
                <w:tcPr>
                  <w:tcW w:w="4252" w:type="dxa"/>
                </w:tcPr>
                <w:p w:rsidR="00312350" w:rsidRPr="00312350" w:rsidRDefault="00312350" w:rsidP="00456ECC">
                  <w:pPr>
                    <w:pStyle w:val="NoSpacing"/>
                  </w:pPr>
                  <w:r>
                    <w:t>Electricity for street lights</w:t>
                  </w:r>
                </w:p>
              </w:tc>
              <w:tc>
                <w:tcPr>
                  <w:tcW w:w="1567" w:type="dxa"/>
                </w:tcPr>
                <w:p w:rsidR="00312350" w:rsidRPr="00312350" w:rsidRDefault="00312350" w:rsidP="00456ECC">
                  <w:pPr>
                    <w:pStyle w:val="NoSpacing"/>
                    <w:jc w:val="right"/>
                  </w:pPr>
                  <w:r w:rsidRPr="00312350">
                    <w:t>738.57</w:t>
                  </w:r>
                </w:p>
              </w:tc>
            </w:tr>
            <w:tr w:rsidR="00312350" w:rsidTr="00690EA3">
              <w:tc>
                <w:tcPr>
                  <w:tcW w:w="2550" w:type="dxa"/>
                </w:tcPr>
                <w:p w:rsidR="00312350" w:rsidRDefault="00312350" w:rsidP="00456ECC">
                  <w:pPr>
                    <w:pStyle w:val="NoSpacing"/>
                    <w:rPr>
                      <w:b/>
                    </w:rPr>
                  </w:pPr>
                  <w:r>
                    <w:rPr>
                      <w:b/>
                    </w:rPr>
                    <w:t>Payments made:</w:t>
                  </w:r>
                </w:p>
              </w:tc>
              <w:tc>
                <w:tcPr>
                  <w:tcW w:w="4252" w:type="dxa"/>
                </w:tcPr>
                <w:p w:rsidR="00312350" w:rsidRDefault="00312350" w:rsidP="00456ECC">
                  <w:pPr>
                    <w:pStyle w:val="NoSpacing"/>
                    <w:rPr>
                      <w:b/>
                    </w:rPr>
                  </w:pPr>
                </w:p>
              </w:tc>
              <w:tc>
                <w:tcPr>
                  <w:tcW w:w="1567" w:type="dxa"/>
                </w:tcPr>
                <w:p w:rsidR="00312350" w:rsidRDefault="00312350" w:rsidP="00456ECC">
                  <w:pPr>
                    <w:pStyle w:val="NoSpacing"/>
                    <w:jc w:val="right"/>
                    <w:rPr>
                      <w:b/>
                    </w:rPr>
                  </w:pPr>
                </w:p>
              </w:tc>
            </w:tr>
            <w:tr w:rsidR="00312350" w:rsidTr="00690EA3">
              <w:tc>
                <w:tcPr>
                  <w:tcW w:w="2550" w:type="dxa"/>
                </w:tcPr>
                <w:p w:rsidR="00312350" w:rsidRPr="00312350" w:rsidRDefault="00312350" w:rsidP="00456ECC">
                  <w:pPr>
                    <w:pStyle w:val="NoSpacing"/>
                  </w:pPr>
                  <w:r w:rsidRPr="00312350">
                    <w:t>Parkers</w:t>
                  </w:r>
                </w:p>
              </w:tc>
              <w:tc>
                <w:tcPr>
                  <w:tcW w:w="4252" w:type="dxa"/>
                </w:tcPr>
                <w:p w:rsidR="00312350" w:rsidRPr="00312350" w:rsidRDefault="00312350" w:rsidP="00456ECC">
                  <w:pPr>
                    <w:pStyle w:val="NoSpacing"/>
                  </w:pPr>
                  <w:r w:rsidRPr="00312350">
                    <w:t>Skip hire at allotments</w:t>
                  </w:r>
                </w:p>
              </w:tc>
              <w:tc>
                <w:tcPr>
                  <w:tcW w:w="1567" w:type="dxa"/>
                </w:tcPr>
                <w:p w:rsidR="00312350" w:rsidRPr="00312350" w:rsidRDefault="00312350" w:rsidP="00456ECC">
                  <w:pPr>
                    <w:pStyle w:val="NoSpacing"/>
                    <w:jc w:val="right"/>
                  </w:pPr>
                  <w:r>
                    <w:t>432.00</w:t>
                  </w:r>
                </w:p>
              </w:tc>
            </w:tr>
            <w:tr w:rsidR="00312350" w:rsidTr="00690EA3">
              <w:tc>
                <w:tcPr>
                  <w:tcW w:w="2550" w:type="dxa"/>
                </w:tcPr>
                <w:p w:rsidR="00312350" w:rsidRPr="00312350" w:rsidRDefault="00312350" w:rsidP="00456ECC">
                  <w:pPr>
                    <w:pStyle w:val="NoSpacing"/>
                  </w:pPr>
                  <w:proofErr w:type="spellStart"/>
                  <w:r>
                    <w:t>Allsop</w:t>
                  </w:r>
                  <w:proofErr w:type="spellEnd"/>
                </w:p>
              </w:tc>
              <w:tc>
                <w:tcPr>
                  <w:tcW w:w="4252" w:type="dxa"/>
                </w:tcPr>
                <w:p w:rsidR="00312350" w:rsidRPr="00312350" w:rsidRDefault="00312350" w:rsidP="00456ECC">
                  <w:pPr>
                    <w:pStyle w:val="NoSpacing"/>
                  </w:pPr>
                  <w:r>
                    <w:t>Deposit for auction</w:t>
                  </w:r>
                </w:p>
              </w:tc>
              <w:tc>
                <w:tcPr>
                  <w:tcW w:w="1567" w:type="dxa"/>
                </w:tcPr>
                <w:p w:rsidR="00312350" w:rsidRPr="00312350" w:rsidRDefault="00312350" w:rsidP="00456ECC">
                  <w:pPr>
                    <w:pStyle w:val="NoSpacing"/>
                    <w:jc w:val="right"/>
                  </w:pPr>
                  <w:r>
                    <w:t>37,500.00</w:t>
                  </w:r>
                </w:p>
              </w:tc>
            </w:tr>
            <w:tr w:rsidR="00312350" w:rsidTr="00690EA3">
              <w:tc>
                <w:tcPr>
                  <w:tcW w:w="2550" w:type="dxa"/>
                </w:tcPr>
                <w:p w:rsidR="00312350" w:rsidRPr="00312350" w:rsidRDefault="00312350" w:rsidP="00456ECC">
                  <w:pPr>
                    <w:pStyle w:val="NoSpacing"/>
                  </w:pPr>
                  <w:r>
                    <w:t>Barry Coveley</w:t>
                  </w:r>
                </w:p>
              </w:tc>
              <w:tc>
                <w:tcPr>
                  <w:tcW w:w="4252" w:type="dxa"/>
                </w:tcPr>
                <w:p w:rsidR="00312350" w:rsidRPr="00312350" w:rsidRDefault="00312350" w:rsidP="00456ECC">
                  <w:pPr>
                    <w:pStyle w:val="NoSpacing"/>
                  </w:pPr>
                  <w:r>
                    <w:t>Polycarbonate for clock</w:t>
                  </w:r>
                </w:p>
              </w:tc>
              <w:tc>
                <w:tcPr>
                  <w:tcW w:w="1567" w:type="dxa"/>
                </w:tcPr>
                <w:p w:rsidR="00312350" w:rsidRPr="00312350" w:rsidRDefault="00312350" w:rsidP="00456ECC">
                  <w:pPr>
                    <w:pStyle w:val="NoSpacing"/>
                    <w:jc w:val="right"/>
                  </w:pPr>
                  <w:r>
                    <w:t>59.77</w:t>
                  </w:r>
                </w:p>
              </w:tc>
            </w:tr>
            <w:tr w:rsidR="00312350" w:rsidTr="00690EA3">
              <w:tc>
                <w:tcPr>
                  <w:tcW w:w="2550" w:type="dxa"/>
                </w:tcPr>
                <w:p w:rsidR="00312350" w:rsidRPr="00312350" w:rsidRDefault="00312350" w:rsidP="00456ECC">
                  <w:pPr>
                    <w:pStyle w:val="NoSpacing"/>
                    <w:rPr>
                      <w:b/>
                    </w:rPr>
                  </w:pPr>
                  <w:r w:rsidRPr="00312350">
                    <w:rPr>
                      <w:b/>
                    </w:rPr>
                    <w:t>Online Payments:</w:t>
                  </w:r>
                </w:p>
              </w:tc>
              <w:tc>
                <w:tcPr>
                  <w:tcW w:w="4252" w:type="dxa"/>
                </w:tcPr>
                <w:p w:rsidR="00312350" w:rsidRPr="00312350" w:rsidRDefault="00312350" w:rsidP="00456ECC">
                  <w:pPr>
                    <w:pStyle w:val="NoSpacing"/>
                  </w:pPr>
                </w:p>
              </w:tc>
              <w:tc>
                <w:tcPr>
                  <w:tcW w:w="1567" w:type="dxa"/>
                </w:tcPr>
                <w:p w:rsidR="00312350" w:rsidRPr="00312350" w:rsidRDefault="00312350" w:rsidP="00456ECC">
                  <w:pPr>
                    <w:pStyle w:val="NoSpacing"/>
                    <w:jc w:val="right"/>
                  </w:pPr>
                </w:p>
              </w:tc>
            </w:tr>
            <w:tr w:rsidR="00FE3159" w:rsidTr="00690EA3">
              <w:tc>
                <w:tcPr>
                  <w:tcW w:w="2550" w:type="dxa"/>
                </w:tcPr>
                <w:p w:rsidR="00FE3159" w:rsidRDefault="00FE3159" w:rsidP="00456ECC">
                  <w:pPr>
                    <w:pStyle w:val="NoSpacing"/>
                  </w:pPr>
                  <w:r>
                    <w:t>Employment costs</w:t>
                  </w:r>
                  <w:r w:rsidR="002A74E8">
                    <w:t>:</w:t>
                  </w:r>
                </w:p>
              </w:tc>
              <w:tc>
                <w:tcPr>
                  <w:tcW w:w="4252" w:type="dxa"/>
                </w:tcPr>
                <w:p w:rsidR="00FE3159" w:rsidRDefault="00FE3159" w:rsidP="00456ECC">
                  <w:pPr>
                    <w:pStyle w:val="NoSpacing"/>
                  </w:pPr>
                </w:p>
              </w:tc>
              <w:tc>
                <w:tcPr>
                  <w:tcW w:w="1567" w:type="dxa"/>
                </w:tcPr>
                <w:p w:rsidR="00FE3159" w:rsidRDefault="00FE3159" w:rsidP="00456ECC">
                  <w:pPr>
                    <w:pStyle w:val="NoSpacing"/>
                    <w:jc w:val="right"/>
                  </w:pPr>
                  <w:r>
                    <w:t>3,284.29</w:t>
                  </w:r>
                </w:p>
              </w:tc>
            </w:tr>
            <w:tr w:rsidR="00312350" w:rsidTr="00690EA3">
              <w:tc>
                <w:tcPr>
                  <w:tcW w:w="2550" w:type="dxa"/>
                </w:tcPr>
                <w:p w:rsidR="00312350" w:rsidRPr="00312350" w:rsidRDefault="00312350" w:rsidP="00456ECC">
                  <w:pPr>
                    <w:pStyle w:val="NoSpacing"/>
                  </w:pPr>
                  <w:r>
                    <w:t>Pauline James</w:t>
                  </w:r>
                </w:p>
              </w:tc>
              <w:tc>
                <w:tcPr>
                  <w:tcW w:w="4252" w:type="dxa"/>
                </w:tcPr>
                <w:p w:rsidR="00312350" w:rsidRPr="00312350" w:rsidRDefault="00312350" w:rsidP="00456ECC">
                  <w:pPr>
                    <w:pStyle w:val="NoSpacing"/>
                  </w:pPr>
                  <w:r>
                    <w:t>Clerk’s fee and expenses</w:t>
                  </w:r>
                </w:p>
              </w:tc>
              <w:tc>
                <w:tcPr>
                  <w:tcW w:w="1567" w:type="dxa"/>
                </w:tcPr>
                <w:p w:rsidR="00312350" w:rsidRPr="00312350" w:rsidRDefault="00312350" w:rsidP="00456ECC">
                  <w:pPr>
                    <w:pStyle w:val="NoSpacing"/>
                    <w:jc w:val="right"/>
                  </w:pPr>
                  <w:bookmarkStart w:id="0" w:name="_GoBack"/>
                  <w:bookmarkEnd w:id="0"/>
                </w:p>
              </w:tc>
            </w:tr>
            <w:tr w:rsidR="00312350" w:rsidTr="00690EA3">
              <w:tc>
                <w:tcPr>
                  <w:tcW w:w="2550" w:type="dxa"/>
                </w:tcPr>
                <w:p w:rsidR="00312350" w:rsidRPr="00312350" w:rsidRDefault="00312350" w:rsidP="00456ECC">
                  <w:pPr>
                    <w:pStyle w:val="NoSpacing"/>
                  </w:pPr>
                  <w:r>
                    <w:t>Norfolk Pension Fund</w:t>
                  </w:r>
                </w:p>
              </w:tc>
              <w:tc>
                <w:tcPr>
                  <w:tcW w:w="4252" w:type="dxa"/>
                </w:tcPr>
                <w:p w:rsidR="00312350" w:rsidRPr="00312350" w:rsidRDefault="00312350" w:rsidP="00456ECC">
                  <w:pPr>
                    <w:pStyle w:val="NoSpacing"/>
                  </w:pPr>
                  <w:r>
                    <w:t>Clerk’s pension</w:t>
                  </w:r>
                </w:p>
              </w:tc>
              <w:tc>
                <w:tcPr>
                  <w:tcW w:w="1567" w:type="dxa"/>
                </w:tcPr>
                <w:p w:rsidR="00312350" w:rsidRPr="00312350" w:rsidRDefault="00312350" w:rsidP="00456ECC">
                  <w:pPr>
                    <w:pStyle w:val="NoSpacing"/>
                    <w:jc w:val="right"/>
                  </w:pPr>
                </w:p>
              </w:tc>
            </w:tr>
            <w:tr w:rsidR="00312350" w:rsidTr="00690EA3">
              <w:tc>
                <w:tcPr>
                  <w:tcW w:w="2550" w:type="dxa"/>
                </w:tcPr>
                <w:p w:rsidR="00312350" w:rsidRPr="00312350" w:rsidRDefault="00312350" w:rsidP="00456ECC">
                  <w:pPr>
                    <w:pStyle w:val="NoSpacing"/>
                  </w:pPr>
                  <w:r>
                    <w:t xml:space="preserve">Mick Ward </w:t>
                  </w:r>
                </w:p>
              </w:tc>
              <w:tc>
                <w:tcPr>
                  <w:tcW w:w="4252" w:type="dxa"/>
                </w:tcPr>
                <w:p w:rsidR="00312350" w:rsidRPr="00312350" w:rsidRDefault="00312350" w:rsidP="00456ECC">
                  <w:pPr>
                    <w:pStyle w:val="NoSpacing"/>
                  </w:pPr>
                  <w:r>
                    <w:t>Cleaning</w:t>
                  </w:r>
                </w:p>
              </w:tc>
              <w:tc>
                <w:tcPr>
                  <w:tcW w:w="1567" w:type="dxa"/>
                </w:tcPr>
                <w:p w:rsidR="00312350" w:rsidRPr="00312350" w:rsidRDefault="00312350" w:rsidP="00456ECC">
                  <w:pPr>
                    <w:pStyle w:val="NoSpacing"/>
                    <w:jc w:val="right"/>
                  </w:pPr>
                </w:p>
              </w:tc>
            </w:tr>
            <w:tr w:rsidR="00312350" w:rsidTr="00690EA3">
              <w:tc>
                <w:tcPr>
                  <w:tcW w:w="2550" w:type="dxa"/>
                </w:tcPr>
                <w:p w:rsidR="00312350" w:rsidRPr="00312350" w:rsidRDefault="00FE3159" w:rsidP="00456ECC">
                  <w:pPr>
                    <w:pStyle w:val="NoSpacing"/>
                  </w:pPr>
                  <w:r>
                    <w:t>HMRC</w:t>
                  </w:r>
                </w:p>
              </w:tc>
              <w:tc>
                <w:tcPr>
                  <w:tcW w:w="4252" w:type="dxa"/>
                </w:tcPr>
                <w:p w:rsidR="00312350" w:rsidRPr="00312350" w:rsidRDefault="00FE3159" w:rsidP="00456ECC">
                  <w:pPr>
                    <w:pStyle w:val="NoSpacing"/>
                  </w:pPr>
                  <w:r>
                    <w:t>PAYE &amp; NIC</w:t>
                  </w:r>
                </w:p>
              </w:tc>
              <w:tc>
                <w:tcPr>
                  <w:tcW w:w="1567" w:type="dxa"/>
                </w:tcPr>
                <w:p w:rsidR="00312350" w:rsidRPr="00312350" w:rsidRDefault="00312350" w:rsidP="00456ECC">
                  <w:pPr>
                    <w:pStyle w:val="NoSpacing"/>
                    <w:jc w:val="right"/>
                  </w:pPr>
                </w:p>
              </w:tc>
            </w:tr>
            <w:tr w:rsidR="00312350" w:rsidTr="00690EA3">
              <w:tc>
                <w:tcPr>
                  <w:tcW w:w="2550" w:type="dxa"/>
                </w:tcPr>
                <w:p w:rsidR="00312350" w:rsidRPr="00DB762D" w:rsidRDefault="00DB762D" w:rsidP="00456ECC">
                  <w:pPr>
                    <w:pStyle w:val="NoSpacing"/>
                  </w:pPr>
                  <w:r w:rsidRPr="00DB762D">
                    <w:t>Garden Guardian</w:t>
                  </w:r>
                </w:p>
              </w:tc>
              <w:tc>
                <w:tcPr>
                  <w:tcW w:w="4252" w:type="dxa"/>
                </w:tcPr>
                <w:p w:rsidR="00312350" w:rsidRPr="00DB762D" w:rsidRDefault="00DB762D" w:rsidP="00456ECC">
                  <w:pPr>
                    <w:pStyle w:val="NoSpacing"/>
                  </w:pPr>
                  <w:r>
                    <w:t>Grasscutting</w:t>
                  </w:r>
                </w:p>
              </w:tc>
              <w:tc>
                <w:tcPr>
                  <w:tcW w:w="1567" w:type="dxa"/>
                </w:tcPr>
                <w:p w:rsidR="00312350" w:rsidRPr="00DB762D" w:rsidRDefault="00DB762D" w:rsidP="00456ECC">
                  <w:pPr>
                    <w:pStyle w:val="NoSpacing"/>
                    <w:jc w:val="right"/>
                  </w:pPr>
                  <w:r>
                    <w:t>1,158.59</w:t>
                  </w:r>
                </w:p>
              </w:tc>
            </w:tr>
            <w:tr w:rsidR="00312350" w:rsidTr="00690EA3">
              <w:tc>
                <w:tcPr>
                  <w:tcW w:w="2550" w:type="dxa"/>
                </w:tcPr>
                <w:p w:rsidR="00312350" w:rsidRPr="00DB762D" w:rsidRDefault="00DB762D" w:rsidP="00456ECC">
                  <w:pPr>
                    <w:pStyle w:val="NoSpacing"/>
                  </w:pPr>
                  <w:r>
                    <w:t>Hugh Crane Ltd</w:t>
                  </w:r>
                </w:p>
              </w:tc>
              <w:tc>
                <w:tcPr>
                  <w:tcW w:w="4252" w:type="dxa"/>
                </w:tcPr>
                <w:p w:rsidR="00312350" w:rsidRPr="00DB762D" w:rsidRDefault="00DB762D" w:rsidP="00456ECC">
                  <w:pPr>
                    <w:pStyle w:val="NoSpacing"/>
                  </w:pPr>
                  <w:r>
                    <w:t>Fletcher Room consumables</w:t>
                  </w:r>
                </w:p>
              </w:tc>
              <w:tc>
                <w:tcPr>
                  <w:tcW w:w="1567" w:type="dxa"/>
                </w:tcPr>
                <w:p w:rsidR="00312350" w:rsidRPr="00DB762D" w:rsidRDefault="00DB762D" w:rsidP="00456ECC">
                  <w:pPr>
                    <w:pStyle w:val="NoSpacing"/>
                    <w:jc w:val="right"/>
                  </w:pPr>
                  <w:r>
                    <w:t>34.45</w:t>
                  </w:r>
                </w:p>
              </w:tc>
            </w:tr>
            <w:tr w:rsidR="00312350" w:rsidTr="00690EA3">
              <w:tc>
                <w:tcPr>
                  <w:tcW w:w="2550" w:type="dxa"/>
                </w:tcPr>
                <w:p w:rsidR="00312350" w:rsidRPr="00DB762D" w:rsidRDefault="00DB762D" w:rsidP="00456ECC">
                  <w:pPr>
                    <w:pStyle w:val="NoSpacing"/>
                  </w:pPr>
                  <w:r>
                    <w:t>Rhino’s</w:t>
                  </w:r>
                </w:p>
              </w:tc>
              <w:tc>
                <w:tcPr>
                  <w:tcW w:w="4252" w:type="dxa"/>
                </w:tcPr>
                <w:p w:rsidR="00312350" w:rsidRPr="00DB762D" w:rsidRDefault="00DB762D" w:rsidP="00456ECC">
                  <w:pPr>
                    <w:pStyle w:val="NoSpacing"/>
                  </w:pPr>
                  <w:r>
                    <w:t>Fixings for benches</w:t>
                  </w:r>
                </w:p>
              </w:tc>
              <w:tc>
                <w:tcPr>
                  <w:tcW w:w="1567" w:type="dxa"/>
                </w:tcPr>
                <w:p w:rsidR="00312350" w:rsidRPr="00DB762D" w:rsidRDefault="00DB762D" w:rsidP="00456ECC">
                  <w:pPr>
                    <w:pStyle w:val="NoSpacing"/>
                    <w:jc w:val="right"/>
                  </w:pPr>
                  <w:r>
                    <w:t>49.56</w:t>
                  </w:r>
                </w:p>
              </w:tc>
            </w:tr>
            <w:tr w:rsidR="0058030B" w:rsidTr="00690EA3">
              <w:tc>
                <w:tcPr>
                  <w:tcW w:w="2550" w:type="dxa"/>
                </w:tcPr>
                <w:p w:rsidR="0058030B" w:rsidRDefault="0058030B" w:rsidP="00456ECC">
                  <w:pPr>
                    <w:pStyle w:val="NoSpacing"/>
                  </w:pPr>
                  <w:r>
                    <w:t>Copy It</w:t>
                  </w:r>
                </w:p>
              </w:tc>
              <w:tc>
                <w:tcPr>
                  <w:tcW w:w="4252" w:type="dxa"/>
                </w:tcPr>
                <w:p w:rsidR="0058030B" w:rsidRDefault="0058030B" w:rsidP="00456ECC">
                  <w:pPr>
                    <w:pStyle w:val="NoSpacing"/>
                  </w:pPr>
                  <w:r>
                    <w:t>Copying</w:t>
                  </w:r>
                </w:p>
              </w:tc>
              <w:tc>
                <w:tcPr>
                  <w:tcW w:w="1567" w:type="dxa"/>
                </w:tcPr>
                <w:p w:rsidR="0058030B" w:rsidRDefault="0058030B" w:rsidP="00456ECC">
                  <w:pPr>
                    <w:pStyle w:val="NoSpacing"/>
                    <w:jc w:val="right"/>
                  </w:pPr>
                  <w:r>
                    <w:t>50.07</w:t>
                  </w:r>
                </w:p>
              </w:tc>
            </w:tr>
            <w:tr w:rsidR="00312350" w:rsidTr="00690EA3">
              <w:tc>
                <w:tcPr>
                  <w:tcW w:w="2550" w:type="dxa"/>
                </w:tcPr>
                <w:p w:rsidR="00312350" w:rsidRDefault="00312350" w:rsidP="00456ECC">
                  <w:pPr>
                    <w:pStyle w:val="NoSpacing"/>
                    <w:rPr>
                      <w:b/>
                    </w:rPr>
                  </w:pPr>
                  <w:r>
                    <w:rPr>
                      <w:b/>
                    </w:rPr>
                    <w:t>Cheques for payment:</w:t>
                  </w:r>
                </w:p>
              </w:tc>
              <w:tc>
                <w:tcPr>
                  <w:tcW w:w="4252" w:type="dxa"/>
                </w:tcPr>
                <w:p w:rsidR="00312350" w:rsidRDefault="00312350" w:rsidP="00456ECC">
                  <w:pPr>
                    <w:pStyle w:val="NoSpacing"/>
                    <w:rPr>
                      <w:b/>
                    </w:rPr>
                  </w:pPr>
                </w:p>
              </w:tc>
              <w:tc>
                <w:tcPr>
                  <w:tcW w:w="1567" w:type="dxa"/>
                </w:tcPr>
                <w:p w:rsidR="00312350" w:rsidRDefault="00312350" w:rsidP="00456ECC">
                  <w:pPr>
                    <w:pStyle w:val="NoSpacing"/>
                    <w:jc w:val="right"/>
                    <w:rPr>
                      <w:b/>
                    </w:rPr>
                  </w:pPr>
                </w:p>
              </w:tc>
            </w:tr>
            <w:tr w:rsidR="00312350" w:rsidTr="00690EA3">
              <w:tc>
                <w:tcPr>
                  <w:tcW w:w="2550" w:type="dxa"/>
                </w:tcPr>
                <w:p w:rsidR="00312350" w:rsidRPr="00DB762D" w:rsidRDefault="00DB762D" w:rsidP="00456ECC">
                  <w:pPr>
                    <w:pStyle w:val="NoSpacing"/>
                  </w:pPr>
                  <w:r>
                    <w:t>Wilkerson’s</w:t>
                  </w:r>
                </w:p>
              </w:tc>
              <w:tc>
                <w:tcPr>
                  <w:tcW w:w="4252" w:type="dxa"/>
                </w:tcPr>
                <w:p w:rsidR="00312350" w:rsidRPr="00DB762D" w:rsidRDefault="00DB762D" w:rsidP="00456ECC">
                  <w:pPr>
                    <w:pStyle w:val="NoSpacing"/>
                  </w:pPr>
                  <w:r>
                    <w:t>Consumables</w:t>
                  </w:r>
                </w:p>
              </w:tc>
              <w:tc>
                <w:tcPr>
                  <w:tcW w:w="1567" w:type="dxa"/>
                </w:tcPr>
                <w:p w:rsidR="00312350" w:rsidRPr="00DB762D" w:rsidRDefault="00DB762D" w:rsidP="00456ECC">
                  <w:pPr>
                    <w:pStyle w:val="NoSpacing"/>
                    <w:jc w:val="right"/>
                  </w:pPr>
                  <w:r>
                    <w:t>35.23</w:t>
                  </w:r>
                </w:p>
              </w:tc>
            </w:tr>
            <w:tr w:rsidR="00DB762D" w:rsidTr="00690EA3">
              <w:tc>
                <w:tcPr>
                  <w:tcW w:w="2550" w:type="dxa"/>
                </w:tcPr>
                <w:p w:rsidR="00DB762D" w:rsidRDefault="00DB762D" w:rsidP="00456ECC">
                  <w:pPr>
                    <w:pStyle w:val="NoSpacing"/>
                  </w:pPr>
                  <w:r>
                    <w:t>John Gallop</w:t>
                  </w:r>
                </w:p>
              </w:tc>
              <w:tc>
                <w:tcPr>
                  <w:tcW w:w="4252" w:type="dxa"/>
                </w:tcPr>
                <w:p w:rsidR="00DB762D" w:rsidRDefault="00DB762D" w:rsidP="00456ECC">
                  <w:pPr>
                    <w:pStyle w:val="NoSpacing"/>
                  </w:pPr>
                  <w:r>
                    <w:t>Internal audit</w:t>
                  </w:r>
                </w:p>
              </w:tc>
              <w:tc>
                <w:tcPr>
                  <w:tcW w:w="1567" w:type="dxa"/>
                </w:tcPr>
                <w:p w:rsidR="00DB762D" w:rsidRDefault="00DB762D" w:rsidP="00456ECC">
                  <w:pPr>
                    <w:pStyle w:val="NoSpacing"/>
                    <w:jc w:val="right"/>
                  </w:pPr>
                  <w:r>
                    <w:t>350.00</w:t>
                  </w:r>
                </w:p>
              </w:tc>
            </w:tr>
            <w:tr w:rsidR="00DB762D" w:rsidTr="00690EA3">
              <w:tc>
                <w:tcPr>
                  <w:tcW w:w="2550" w:type="dxa"/>
                </w:tcPr>
                <w:p w:rsidR="00DB762D" w:rsidRDefault="00DB762D" w:rsidP="00456ECC">
                  <w:pPr>
                    <w:pStyle w:val="NoSpacing"/>
                  </w:pPr>
                  <w:r>
                    <w:t>Angela Bishop</w:t>
                  </w:r>
                </w:p>
              </w:tc>
              <w:tc>
                <w:tcPr>
                  <w:tcW w:w="4252" w:type="dxa"/>
                </w:tcPr>
                <w:p w:rsidR="00DB762D" w:rsidRDefault="00DB762D" w:rsidP="00456ECC">
                  <w:pPr>
                    <w:pStyle w:val="NoSpacing"/>
                  </w:pPr>
                  <w:r>
                    <w:t>Cost of flyers for tea party</w:t>
                  </w:r>
                </w:p>
              </w:tc>
              <w:tc>
                <w:tcPr>
                  <w:tcW w:w="1567" w:type="dxa"/>
                </w:tcPr>
                <w:p w:rsidR="00DB762D" w:rsidRDefault="00DB762D" w:rsidP="00456ECC">
                  <w:pPr>
                    <w:pStyle w:val="NoSpacing"/>
                    <w:jc w:val="right"/>
                  </w:pPr>
                  <w:r>
                    <w:t>29.98</w:t>
                  </w:r>
                </w:p>
              </w:tc>
            </w:tr>
            <w:tr w:rsidR="00DB762D" w:rsidTr="00690EA3">
              <w:tc>
                <w:tcPr>
                  <w:tcW w:w="2550" w:type="dxa"/>
                </w:tcPr>
                <w:p w:rsidR="00DB762D" w:rsidRDefault="00DB762D" w:rsidP="00456ECC">
                  <w:pPr>
                    <w:pStyle w:val="NoSpacing"/>
                  </w:pPr>
                  <w:r>
                    <w:t xml:space="preserve">T </w:t>
                  </w:r>
                  <w:proofErr w:type="spellStart"/>
                  <w:r>
                    <w:t>T</w:t>
                  </w:r>
                  <w:proofErr w:type="spellEnd"/>
                  <w:r>
                    <w:t xml:space="preserve"> Jones Electrical</w:t>
                  </w:r>
                </w:p>
              </w:tc>
              <w:tc>
                <w:tcPr>
                  <w:tcW w:w="4252" w:type="dxa"/>
                </w:tcPr>
                <w:p w:rsidR="00DB762D" w:rsidRDefault="00DB762D" w:rsidP="00456ECC">
                  <w:pPr>
                    <w:pStyle w:val="NoSpacing"/>
                  </w:pPr>
                  <w:r>
                    <w:t>Repairs of street lights, and annual test</w:t>
                  </w:r>
                </w:p>
              </w:tc>
              <w:tc>
                <w:tcPr>
                  <w:tcW w:w="1567" w:type="dxa"/>
                </w:tcPr>
                <w:p w:rsidR="00DB762D" w:rsidRDefault="00DB762D" w:rsidP="00456ECC">
                  <w:pPr>
                    <w:pStyle w:val="NoSpacing"/>
                    <w:jc w:val="right"/>
                  </w:pPr>
                  <w:r>
                    <w:t>2,157.50</w:t>
                  </w:r>
                </w:p>
              </w:tc>
            </w:tr>
            <w:tr w:rsidR="00DB762D" w:rsidTr="00690EA3">
              <w:tc>
                <w:tcPr>
                  <w:tcW w:w="2550" w:type="dxa"/>
                </w:tcPr>
                <w:p w:rsidR="00DB762D" w:rsidRDefault="00DB762D" w:rsidP="00456ECC">
                  <w:pPr>
                    <w:pStyle w:val="NoSpacing"/>
                  </w:pPr>
                  <w:r>
                    <w:t>M Allen</w:t>
                  </w:r>
                </w:p>
              </w:tc>
              <w:tc>
                <w:tcPr>
                  <w:tcW w:w="4252" w:type="dxa"/>
                </w:tcPr>
                <w:p w:rsidR="00DB762D" w:rsidRDefault="00DB762D" w:rsidP="00456ECC">
                  <w:pPr>
                    <w:pStyle w:val="NoSpacing"/>
                  </w:pPr>
                  <w:r>
                    <w:t>Footpath fee</w:t>
                  </w:r>
                  <w:r w:rsidR="002440E2">
                    <w:t>, backdated amount</w:t>
                  </w:r>
                </w:p>
              </w:tc>
              <w:tc>
                <w:tcPr>
                  <w:tcW w:w="1567" w:type="dxa"/>
                </w:tcPr>
                <w:p w:rsidR="00DB762D" w:rsidRDefault="00DB762D" w:rsidP="00456ECC">
                  <w:pPr>
                    <w:pStyle w:val="NoSpacing"/>
                    <w:jc w:val="right"/>
                  </w:pPr>
                  <w:r>
                    <w:t>20.00</w:t>
                  </w:r>
                </w:p>
              </w:tc>
            </w:tr>
            <w:tr w:rsidR="00DB762D" w:rsidTr="00690EA3">
              <w:tc>
                <w:tcPr>
                  <w:tcW w:w="2550" w:type="dxa"/>
                </w:tcPr>
                <w:p w:rsidR="00DB762D" w:rsidRDefault="00DB762D" w:rsidP="00456ECC">
                  <w:pPr>
                    <w:pStyle w:val="NoSpacing"/>
                  </w:pPr>
                  <w:r>
                    <w:t>Methodist Church</w:t>
                  </w:r>
                </w:p>
              </w:tc>
              <w:tc>
                <w:tcPr>
                  <w:tcW w:w="4252" w:type="dxa"/>
                </w:tcPr>
                <w:p w:rsidR="00DB762D" w:rsidRDefault="00DB762D" w:rsidP="00456ECC">
                  <w:pPr>
                    <w:pStyle w:val="NoSpacing"/>
                  </w:pPr>
                  <w:r>
                    <w:t>Meeting room hire</w:t>
                  </w:r>
                </w:p>
              </w:tc>
              <w:tc>
                <w:tcPr>
                  <w:tcW w:w="1567" w:type="dxa"/>
                </w:tcPr>
                <w:p w:rsidR="00DB762D" w:rsidRDefault="00DB762D" w:rsidP="00456ECC">
                  <w:pPr>
                    <w:pStyle w:val="NoSpacing"/>
                    <w:jc w:val="right"/>
                  </w:pPr>
                  <w:r>
                    <w:t>42.50</w:t>
                  </w:r>
                </w:p>
              </w:tc>
            </w:tr>
            <w:tr w:rsidR="00312350" w:rsidTr="00690EA3">
              <w:tc>
                <w:tcPr>
                  <w:tcW w:w="2550" w:type="dxa"/>
                </w:tcPr>
                <w:p w:rsidR="00312350" w:rsidRPr="00DB762D" w:rsidRDefault="00DB762D" w:rsidP="00456ECC">
                  <w:pPr>
                    <w:pStyle w:val="NoSpacing"/>
                  </w:pPr>
                  <w:r w:rsidRPr="00DB762D">
                    <w:t>Came &amp; Co</w:t>
                  </w:r>
                </w:p>
              </w:tc>
              <w:tc>
                <w:tcPr>
                  <w:tcW w:w="4252" w:type="dxa"/>
                </w:tcPr>
                <w:p w:rsidR="00312350" w:rsidRPr="00DB762D" w:rsidRDefault="00DB762D" w:rsidP="00456ECC">
                  <w:pPr>
                    <w:pStyle w:val="NoSpacing"/>
                  </w:pPr>
                  <w:r w:rsidRPr="00DB762D">
                    <w:t>Insurance for bank building</w:t>
                  </w:r>
                </w:p>
              </w:tc>
              <w:tc>
                <w:tcPr>
                  <w:tcW w:w="1567" w:type="dxa"/>
                </w:tcPr>
                <w:p w:rsidR="00312350" w:rsidRPr="00DB762D" w:rsidRDefault="00DB762D" w:rsidP="00456ECC">
                  <w:pPr>
                    <w:pStyle w:val="NoSpacing"/>
                    <w:jc w:val="right"/>
                  </w:pPr>
                  <w:r w:rsidRPr="00DB762D">
                    <w:t>216.68</w:t>
                  </w:r>
                </w:p>
              </w:tc>
            </w:tr>
            <w:tr w:rsidR="00DB762D" w:rsidTr="00690EA3">
              <w:tc>
                <w:tcPr>
                  <w:tcW w:w="2550" w:type="dxa"/>
                </w:tcPr>
                <w:p w:rsidR="00DB762D" w:rsidRPr="00DB762D" w:rsidRDefault="00DB762D" w:rsidP="00456ECC">
                  <w:pPr>
                    <w:pStyle w:val="NoSpacing"/>
                  </w:pPr>
                  <w:r>
                    <w:t>Broadland DC</w:t>
                  </w:r>
                </w:p>
              </w:tc>
              <w:tc>
                <w:tcPr>
                  <w:tcW w:w="4252" w:type="dxa"/>
                </w:tcPr>
                <w:p w:rsidR="00DB762D" w:rsidRPr="00DB762D" w:rsidRDefault="00DB762D" w:rsidP="00456ECC">
                  <w:pPr>
                    <w:pStyle w:val="NoSpacing"/>
                  </w:pPr>
                  <w:r>
                    <w:t>Emptying bins</w:t>
                  </w:r>
                </w:p>
              </w:tc>
              <w:tc>
                <w:tcPr>
                  <w:tcW w:w="1567" w:type="dxa"/>
                  <w:tcBorders>
                    <w:bottom w:val="single" w:sz="4" w:space="0" w:color="auto"/>
                  </w:tcBorders>
                </w:tcPr>
                <w:p w:rsidR="00DB762D" w:rsidRPr="00DB762D" w:rsidRDefault="00DB762D" w:rsidP="00456ECC">
                  <w:pPr>
                    <w:pStyle w:val="NoSpacing"/>
                    <w:jc w:val="right"/>
                  </w:pPr>
                  <w:r>
                    <w:t>333.84</w:t>
                  </w:r>
                </w:p>
              </w:tc>
            </w:tr>
            <w:tr w:rsidR="00DB762D" w:rsidTr="00690EA3">
              <w:tc>
                <w:tcPr>
                  <w:tcW w:w="2550" w:type="dxa"/>
                </w:tcPr>
                <w:p w:rsidR="00DB762D" w:rsidRPr="00DB762D" w:rsidRDefault="00E21F6D" w:rsidP="00456ECC">
                  <w:pPr>
                    <w:pStyle w:val="NoSpacing"/>
                  </w:pPr>
                  <w:r>
                    <w:t>Bal c/f 23</w:t>
                  </w:r>
                  <w:r w:rsidRPr="00E21F6D">
                    <w:rPr>
                      <w:vertAlign w:val="superscript"/>
                    </w:rPr>
                    <w:t>rd</w:t>
                  </w:r>
                  <w:r>
                    <w:t xml:space="preserve"> May 2016</w:t>
                  </w:r>
                </w:p>
              </w:tc>
              <w:tc>
                <w:tcPr>
                  <w:tcW w:w="4252" w:type="dxa"/>
                </w:tcPr>
                <w:p w:rsidR="00DB762D" w:rsidRPr="00DB762D" w:rsidRDefault="00DB762D" w:rsidP="00456ECC">
                  <w:pPr>
                    <w:pStyle w:val="NoSpacing"/>
                  </w:pPr>
                </w:p>
              </w:tc>
              <w:tc>
                <w:tcPr>
                  <w:tcW w:w="1567" w:type="dxa"/>
                  <w:tcBorders>
                    <w:top w:val="single" w:sz="4" w:space="0" w:color="auto"/>
                  </w:tcBorders>
                </w:tcPr>
                <w:p w:rsidR="00DB762D" w:rsidRPr="00DB762D" w:rsidRDefault="00E21F6D" w:rsidP="00456ECC">
                  <w:pPr>
                    <w:pStyle w:val="NoSpacing"/>
                    <w:jc w:val="right"/>
                  </w:pPr>
                  <w:r>
                    <w:t>638,506.76</w:t>
                  </w:r>
                </w:p>
              </w:tc>
            </w:tr>
            <w:tr w:rsidR="00DB762D" w:rsidTr="00690EA3">
              <w:tc>
                <w:tcPr>
                  <w:tcW w:w="2550" w:type="dxa"/>
                </w:tcPr>
                <w:p w:rsidR="00DB762D" w:rsidRPr="00DB762D" w:rsidRDefault="00E21F6D" w:rsidP="00456ECC">
                  <w:pPr>
                    <w:pStyle w:val="NoSpacing"/>
                  </w:pPr>
                  <w:r>
                    <w:t>Government Stocks</w:t>
                  </w:r>
                </w:p>
              </w:tc>
              <w:tc>
                <w:tcPr>
                  <w:tcW w:w="4252" w:type="dxa"/>
                </w:tcPr>
                <w:p w:rsidR="00DB762D" w:rsidRPr="00DB762D" w:rsidRDefault="00DB762D" w:rsidP="00456ECC">
                  <w:pPr>
                    <w:pStyle w:val="NoSpacing"/>
                  </w:pPr>
                </w:p>
              </w:tc>
              <w:tc>
                <w:tcPr>
                  <w:tcW w:w="1567" w:type="dxa"/>
                </w:tcPr>
                <w:p w:rsidR="00DB762D" w:rsidRPr="00DB762D" w:rsidRDefault="00E21F6D" w:rsidP="00456ECC">
                  <w:pPr>
                    <w:pStyle w:val="NoSpacing"/>
                    <w:jc w:val="right"/>
                  </w:pPr>
                  <w:r>
                    <w:t>128,264.00</w:t>
                  </w:r>
                </w:p>
              </w:tc>
            </w:tr>
            <w:tr w:rsidR="00DB762D" w:rsidTr="00690EA3">
              <w:tc>
                <w:tcPr>
                  <w:tcW w:w="2550" w:type="dxa"/>
                </w:tcPr>
                <w:p w:rsidR="00DB762D" w:rsidRPr="00DB762D" w:rsidRDefault="00E21F6D" w:rsidP="00456ECC">
                  <w:pPr>
                    <w:pStyle w:val="NoSpacing"/>
                  </w:pPr>
                  <w:r>
                    <w:t>Cambridge B/</w:t>
                  </w:r>
                  <w:proofErr w:type="spellStart"/>
                  <w:r>
                    <w:t>Soc</w:t>
                  </w:r>
                  <w:proofErr w:type="spellEnd"/>
                </w:p>
              </w:tc>
              <w:tc>
                <w:tcPr>
                  <w:tcW w:w="4252" w:type="dxa"/>
                </w:tcPr>
                <w:p w:rsidR="00DB762D" w:rsidRPr="00DB762D" w:rsidRDefault="00E21F6D" w:rsidP="00456ECC">
                  <w:pPr>
                    <w:pStyle w:val="NoSpacing"/>
                  </w:pPr>
                  <w:r>
                    <w:t>Instant access 0.5%</w:t>
                  </w:r>
                </w:p>
              </w:tc>
              <w:tc>
                <w:tcPr>
                  <w:tcW w:w="1567" w:type="dxa"/>
                </w:tcPr>
                <w:p w:rsidR="00DB762D" w:rsidRPr="00DB762D" w:rsidRDefault="00E21F6D" w:rsidP="00456ECC">
                  <w:pPr>
                    <w:pStyle w:val="NoSpacing"/>
                    <w:jc w:val="right"/>
                  </w:pPr>
                  <w:r>
                    <w:t>75,000.00</w:t>
                  </w:r>
                </w:p>
              </w:tc>
            </w:tr>
            <w:tr w:rsidR="00DB762D" w:rsidTr="00690EA3">
              <w:tc>
                <w:tcPr>
                  <w:tcW w:w="2550" w:type="dxa"/>
                </w:tcPr>
                <w:p w:rsidR="00DB762D" w:rsidRPr="00DB762D" w:rsidRDefault="00E21F6D" w:rsidP="00456ECC">
                  <w:pPr>
                    <w:pStyle w:val="NoSpacing"/>
                  </w:pPr>
                  <w:r>
                    <w:t>Lloyds Bank</w:t>
                  </w:r>
                </w:p>
              </w:tc>
              <w:tc>
                <w:tcPr>
                  <w:tcW w:w="4252" w:type="dxa"/>
                </w:tcPr>
                <w:p w:rsidR="00DB762D" w:rsidRPr="00DB762D" w:rsidRDefault="00E21F6D" w:rsidP="00456ECC">
                  <w:pPr>
                    <w:pStyle w:val="NoSpacing"/>
                  </w:pPr>
                  <w:r>
                    <w:t>12m to Feb 2017 1.05%</w:t>
                  </w:r>
                </w:p>
              </w:tc>
              <w:tc>
                <w:tcPr>
                  <w:tcW w:w="1567" w:type="dxa"/>
                </w:tcPr>
                <w:p w:rsidR="00DB762D" w:rsidRPr="00DB762D" w:rsidRDefault="00E21F6D" w:rsidP="00E21F6D">
                  <w:pPr>
                    <w:pStyle w:val="NoSpacing"/>
                    <w:jc w:val="right"/>
                  </w:pPr>
                  <w:r>
                    <w:t>175,000.00</w:t>
                  </w:r>
                </w:p>
              </w:tc>
            </w:tr>
            <w:tr w:rsidR="00DB762D" w:rsidTr="00690EA3">
              <w:tc>
                <w:tcPr>
                  <w:tcW w:w="2550" w:type="dxa"/>
                </w:tcPr>
                <w:p w:rsidR="00DB762D" w:rsidRPr="00DB762D" w:rsidRDefault="00E21F6D" w:rsidP="00456ECC">
                  <w:pPr>
                    <w:pStyle w:val="NoSpacing"/>
                  </w:pPr>
                  <w:r>
                    <w:t>Nationwide B/</w:t>
                  </w:r>
                  <w:proofErr w:type="spellStart"/>
                  <w:r>
                    <w:t>Soc</w:t>
                  </w:r>
                  <w:proofErr w:type="spellEnd"/>
                </w:p>
              </w:tc>
              <w:tc>
                <w:tcPr>
                  <w:tcW w:w="4252" w:type="dxa"/>
                </w:tcPr>
                <w:p w:rsidR="00DB762D" w:rsidRPr="00DB762D" w:rsidRDefault="00E21F6D" w:rsidP="00456ECC">
                  <w:pPr>
                    <w:pStyle w:val="NoSpacing"/>
                  </w:pPr>
                  <w:r>
                    <w:t>12m to Feb 2017 1.2%</w:t>
                  </w:r>
                </w:p>
              </w:tc>
              <w:tc>
                <w:tcPr>
                  <w:tcW w:w="1567" w:type="dxa"/>
                  <w:tcBorders>
                    <w:bottom w:val="single" w:sz="4" w:space="0" w:color="auto"/>
                  </w:tcBorders>
                </w:tcPr>
                <w:p w:rsidR="00DB762D" w:rsidRPr="00DB762D" w:rsidRDefault="00E21F6D" w:rsidP="00E21F6D">
                  <w:pPr>
                    <w:pStyle w:val="NoSpacing"/>
                    <w:jc w:val="right"/>
                  </w:pPr>
                  <w:r>
                    <w:t>75,000.00</w:t>
                  </w:r>
                </w:p>
              </w:tc>
            </w:tr>
            <w:tr w:rsidR="00DB762D" w:rsidTr="00690EA3">
              <w:tc>
                <w:tcPr>
                  <w:tcW w:w="2550" w:type="dxa"/>
                </w:tcPr>
                <w:p w:rsidR="00DB762D" w:rsidRPr="00DB762D" w:rsidRDefault="00E21F6D" w:rsidP="00456ECC">
                  <w:pPr>
                    <w:pStyle w:val="NoSpacing"/>
                  </w:pPr>
                  <w:r>
                    <w:t>Total monies</w:t>
                  </w:r>
                </w:p>
              </w:tc>
              <w:tc>
                <w:tcPr>
                  <w:tcW w:w="4252" w:type="dxa"/>
                </w:tcPr>
                <w:p w:rsidR="00DB762D" w:rsidRPr="00DB762D" w:rsidRDefault="00DB762D" w:rsidP="00456ECC">
                  <w:pPr>
                    <w:pStyle w:val="NoSpacing"/>
                  </w:pPr>
                </w:p>
              </w:tc>
              <w:tc>
                <w:tcPr>
                  <w:tcW w:w="1567" w:type="dxa"/>
                  <w:tcBorders>
                    <w:top w:val="single" w:sz="4" w:space="0" w:color="auto"/>
                    <w:bottom w:val="single" w:sz="4" w:space="0" w:color="auto"/>
                  </w:tcBorders>
                </w:tcPr>
                <w:p w:rsidR="00DB762D" w:rsidRPr="00DB762D" w:rsidRDefault="00E21F6D" w:rsidP="00E21F6D">
                  <w:pPr>
                    <w:pStyle w:val="NoSpacing"/>
                    <w:jc w:val="right"/>
                  </w:pPr>
                  <w:r>
                    <w:t>1,091,</w:t>
                  </w:r>
                  <w:r w:rsidR="00B934AB">
                    <w:t>77</w:t>
                  </w:r>
                  <w:r>
                    <w:t>0.70</w:t>
                  </w:r>
                </w:p>
              </w:tc>
            </w:tr>
          </w:tbl>
          <w:p w:rsidR="00312350" w:rsidRPr="00312350" w:rsidRDefault="00312350" w:rsidP="00456ECC">
            <w:pPr>
              <w:rPr>
                <w:b/>
              </w:rPr>
            </w:pPr>
          </w:p>
        </w:tc>
      </w:tr>
      <w:tr w:rsidR="00196875" w:rsidTr="00E21F6D">
        <w:tc>
          <w:tcPr>
            <w:tcW w:w="516" w:type="dxa"/>
          </w:tcPr>
          <w:p w:rsidR="00196875" w:rsidRPr="00312350" w:rsidRDefault="00E21F6D" w:rsidP="00456ECC">
            <w:pPr>
              <w:rPr>
                <w:b/>
              </w:rPr>
            </w:pPr>
            <w:r>
              <w:br w:type="page"/>
            </w:r>
          </w:p>
        </w:tc>
        <w:tc>
          <w:tcPr>
            <w:tcW w:w="8595" w:type="dxa"/>
          </w:tcPr>
          <w:p w:rsidR="00196875" w:rsidRDefault="00196875" w:rsidP="00456ECC">
            <w:r w:rsidRPr="00196875">
              <w:t>£93,791.32 is held by Mills &amp; Reeve to be used to pay for the crossing on A1064.</w:t>
            </w:r>
          </w:p>
          <w:p w:rsidR="001B3662" w:rsidRPr="00196875" w:rsidRDefault="001B3662" w:rsidP="00456ECC">
            <w:r>
              <w:lastRenderedPageBreak/>
              <w:t xml:space="preserve">The Actual v Budget for the 2 </w:t>
            </w:r>
            <w:r w:rsidR="00D27C40">
              <w:t>months to May 2016 was presented, with explanations for variances.</w:t>
            </w:r>
          </w:p>
        </w:tc>
      </w:tr>
      <w:tr w:rsidR="00312350" w:rsidTr="00E21F6D">
        <w:tc>
          <w:tcPr>
            <w:tcW w:w="516" w:type="dxa"/>
          </w:tcPr>
          <w:p w:rsidR="00312350" w:rsidRPr="00312350" w:rsidRDefault="00312350" w:rsidP="00456ECC">
            <w:pPr>
              <w:rPr>
                <w:b/>
              </w:rPr>
            </w:pPr>
            <w:r w:rsidRPr="00312350">
              <w:rPr>
                <w:b/>
              </w:rPr>
              <w:lastRenderedPageBreak/>
              <w:t>14</w:t>
            </w:r>
          </w:p>
        </w:tc>
        <w:tc>
          <w:tcPr>
            <w:tcW w:w="8595" w:type="dxa"/>
          </w:tcPr>
          <w:p w:rsidR="001B3662" w:rsidRPr="00312350" w:rsidRDefault="00312350" w:rsidP="00F50B82">
            <w:pPr>
              <w:rPr>
                <w:b/>
              </w:rPr>
            </w:pPr>
            <w:r w:rsidRPr="00312350">
              <w:rPr>
                <w:b/>
              </w:rPr>
              <w:t>INVESTMENT POLICY</w:t>
            </w:r>
            <w:r w:rsidR="00F50B82">
              <w:rPr>
                <w:b/>
              </w:rPr>
              <w:br/>
            </w:r>
            <w:r w:rsidR="00F50B82">
              <w:t>The Investment Policy for cash was approved b</w:t>
            </w:r>
            <w:r w:rsidR="00ED1341">
              <w:t>ut it was agreed to add a paragraph</w:t>
            </w:r>
            <w:r w:rsidR="00F50B82">
              <w:t xml:space="preserve"> for investment in land and/or property.</w:t>
            </w:r>
          </w:p>
        </w:tc>
      </w:tr>
      <w:tr w:rsidR="00312350" w:rsidTr="00E21F6D">
        <w:tc>
          <w:tcPr>
            <w:tcW w:w="516" w:type="dxa"/>
          </w:tcPr>
          <w:p w:rsidR="00312350" w:rsidRPr="00312350" w:rsidRDefault="00312350" w:rsidP="00456ECC">
            <w:pPr>
              <w:rPr>
                <w:b/>
              </w:rPr>
            </w:pPr>
            <w:r w:rsidRPr="00312350">
              <w:rPr>
                <w:b/>
              </w:rPr>
              <w:t>15</w:t>
            </w:r>
          </w:p>
        </w:tc>
        <w:tc>
          <w:tcPr>
            <w:tcW w:w="8595" w:type="dxa"/>
          </w:tcPr>
          <w:p w:rsidR="00312350" w:rsidRDefault="00312350" w:rsidP="00456ECC">
            <w:pPr>
              <w:rPr>
                <w:b/>
              </w:rPr>
            </w:pPr>
            <w:r w:rsidRPr="00312350">
              <w:rPr>
                <w:b/>
              </w:rPr>
              <w:t>DECLARING INTERESTS AT MEETINGS</w:t>
            </w:r>
            <w:r w:rsidR="00F50B82">
              <w:rPr>
                <w:b/>
              </w:rPr>
              <w:br/>
            </w:r>
            <w:r w:rsidR="00F50B82" w:rsidRPr="00F50B82">
              <w:t xml:space="preserve">There </w:t>
            </w:r>
            <w:r w:rsidR="00F50B82">
              <w:t xml:space="preserve">had been an expression of concern that councillors </w:t>
            </w:r>
            <w:r w:rsidR="00ED1341">
              <w:t xml:space="preserve">who are also trustees and </w:t>
            </w:r>
            <w:r w:rsidR="00F50B82">
              <w:t xml:space="preserve">who </w:t>
            </w:r>
            <w:r w:rsidR="00841DC6">
              <w:t>left the room during the discussion as to whether to give a grant or loan to the Recreation Centre had been outside the meeting for longer than was necessary and had missed out on being able to join in with the discussion of the matter.</w:t>
            </w:r>
          </w:p>
          <w:p w:rsidR="00484443" w:rsidRDefault="00F50B82" w:rsidP="00456ECC">
            <w:pPr>
              <w:rPr>
                <w:b/>
              </w:rPr>
            </w:pPr>
            <w:r>
              <w:rPr>
                <w:b/>
              </w:rPr>
              <w:t>The Parish Council’s Standing O</w:t>
            </w:r>
            <w:r w:rsidR="00484443">
              <w:rPr>
                <w:b/>
              </w:rPr>
              <w:t xml:space="preserve">rders </w:t>
            </w:r>
            <w:r>
              <w:rPr>
                <w:b/>
              </w:rPr>
              <w:t xml:space="preserve">dated </w:t>
            </w:r>
            <w:r w:rsidR="004E48F2">
              <w:rPr>
                <w:b/>
              </w:rPr>
              <w:t>October 2015</w:t>
            </w:r>
            <w:r>
              <w:rPr>
                <w:b/>
              </w:rPr>
              <w:t xml:space="preserve"> state</w:t>
            </w:r>
            <w:r w:rsidR="00484443">
              <w:rPr>
                <w:b/>
              </w:rPr>
              <w:t>:</w:t>
            </w:r>
          </w:p>
          <w:p w:rsidR="004E48F2" w:rsidRPr="004E48F2" w:rsidRDefault="004E48F2" w:rsidP="004E48F2">
            <w:pPr>
              <w:spacing w:after="0" w:line="240" w:lineRule="auto"/>
              <w:ind w:left="720" w:hanging="720"/>
              <w:rPr>
                <w:rFonts w:ascii="Calibri" w:hAnsi="Calibri"/>
                <w:i/>
              </w:rPr>
            </w:pPr>
            <w:r w:rsidRPr="004E48F2">
              <w:rPr>
                <w:rFonts w:ascii="Calibri" w:hAnsi="Calibri"/>
                <w:i/>
              </w:rPr>
              <w:t>13b</w:t>
            </w:r>
            <w:r w:rsidRPr="004E48F2">
              <w:rPr>
                <w:rFonts w:ascii="Calibri" w:hAnsi="Calibri"/>
                <w:i/>
              </w:rPr>
              <w:tab/>
              <w:t>Unless he has been granted a dispensation, a councillor shall withdraw from a meeting when it is considering a matter in which he has a disclosable pecuniary interest. He may return to the meeting after it has considered the matter in which he had the interest.</w:t>
            </w:r>
          </w:p>
          <w:p w:rsidR="004E48F2" w:rsidRPr="004E48F2" w:rsidRDefault="004E48F2" w:rsidP="004E48F2">
            <w:pPr>
              <w:spacing w:after="0" w:line="240" w:lineRule="auto"/>
              <w:rPr>
                <w:rFonts w:ascii="Calibri" w:hAnsi="Calibri"/>
                <w:i/>
              </w:rPr>
            </w:pPr>
          </w:p>
          <w:p w:rsidR="004E48F2" w:rsidRPr="004E48F2" w:rsidRDefault="004E48F2" w:rsidP="004E48F2">
            <w:pPr>
              <w:spacing w:after="0" w:line="240" w:lineRule="auto"/>
              <w:ind w:left="720" w:hanging="720"/>
              <w:rPr>
                <w:rFonts w:ascii="Calibri" w:hAnsi="Calibri"/>
                <w:i/>
              </w:rPr>
            </w:pPr>
            <w:r>
              <w:rPr>
                <w:rFonts w:ascii="Calibri" w:hAnsi="Calibri"/>
                <w:i/>
              </w:rPr>
              <w:t>13</w:t>
            </w:r>
            <w:r w:rsidRPr="004E48F2">
              <w:rPr>
                <w:rFonts w:ascii="Calibri" w:hAnsi="Calibri"/>
                <w:i/>
              </w:rPr>
              <w:t>c</w:t>
            </w:r>
            <w:r w:rsidRPr="004E48F2">
              <w:rPr>
                <w:rFonts w:ascii="Calibri" w:hAnsi="Calibri"/>
                <w:i/>
              </w:rPr>
              <w:tab/>
              <w:t>Unless he has been granted a dispensation, a councillor shall withdraw from a meeting when it is considering a matter in which he has another interest if so required by the Council’s code of conduct. This would include, but is not limited to, matters that affect a close family member or friend of the councillor, or a financial interest in any external body to which the councillor is elected. He may return to the meeting after it has considered the matter in which he had the interest.</w:t>
            </w:r>
          </w:p>
          <w:p w:rsidR="004E48F2" w:rsidRPr="004E48F2" w:rsidRDefault="004E48F2" w:rsidP="004E48F2">
            <w:pPr>
              <w:spacing w:after="0" w:line="240" w:lineRule="auto"/>
              <w:ind w:left="720" w:hanging="720"/>
              <w:rPr>
                <w:rFonts w:ascii="Calibri" w:hAnsi="Calibri"/>
                <w:i/>
              </w:rPr>
            </w:pPr>
          </w:p>
          <w:p w:rsidR="004E48F2" w:rsidRPr="004E48F2" w:rsidRDefault="004E48F2" w:rsidP="004E48F2">
            <w:pPr>
              <w:spacing w:after="0" w:line="240" w:lineRule="auto"/>
              <w:ind w:left="720" w:hanging="720"/>
              <w:rPr>
                <w:rFonts w:ascii="Calibri" w:hAnsi="Calibri"/>
                <w:i/>
              </w:rPr>
            </w:pPr>
            <w:r w:rsidRPr="004E48F2">
              <w:rPr>
                <w:rFonts w:ascii="Calibri" w:hAnsi="Calibri"/>
                <w:i/>
              </w:rPr>
              <w:tab/>
              <w:t xml:space="preserve">Before withdrawing from the room, the councillor may make representations, answer questions and give evidence relating to the business being transacted, but must leave the room before the </w:t>
            </w:r>
            <w:proofErr w:type="gramStart"/>
            <w:r w:rsidRPr="004E48F2">
              <w:rPr>
                <w:rFonts w:ascii="Calibri" w:hAnsi="Calibri"/>
                <w:i/>
              </w:rPr>
              <w:t>councillors</w:t>
            </w:r>
            <w:proofErr w:type="gramEnd"/>
            <w:r w:rsidRPr="004E48F2">
              <w:rPr>
                <w:rFonts w:ascii="Calibri" w:hAnsi="Calibri"/>
                <w:i/>
              </w:rPr>
              <w:t xml:space="preserve"> debate or vote on the matter.</w:t>
            </w:r>
          </w:p>
          <w:p w:rsidR="004E48F2" w:rsidRPr="004E48F2" w:rsidRDefault="004E48F2" w:rsidP="00484443">
            <w:pPr>
              <w:spacing w:after="0" w:line="240" w:lineRule="auto"/>
              <w:ind w:left="720" w:hanging="720"/>
              <w:jc w:val="both"/>
              <w:rPr>
                <w:rFonts w:ascii="Calibri" w:hAnsi="Calibri"/>
                <w:i/>
                <w:szCs w:val="24"/>
              </w:rPr>
            </w:pPr>
          </w:p>
          <w:p w:rsidR="001B3662" w:rsidRPr="00841DC6" w:rsidRDefault="00841DC6" w:rsidP="00456ECC">
            <w:r>
              <w:t>The councillors agreed that it had been appropriate for the trustees to leave the meeting once other councillors wanted to start making suggestions as to the amount of any grant or loan. It was also agreed that the rule felt fair and gave those councillors remaining in the meeting a chance to discuss the issue freely. It was noted that members of the public had been present to hear the debate.</w:t>
            </w:r>
          </w:p>
        </w:tc>
      </w:tr>
      <w:tr w:rsidR="00312350" w:rsidTr="00E21F6D">
        <w:tc>
          <w:tcPr>
            <w:tcW w:w="516" w:type="dxa"/>
          </w:tcPr>
          <w:p w:rsidR="00312350" w:rsidRPr="00312350" w:rsidRDefault="00312350" w:rsidP="00456ECC">
            <w:pPr>
              <w:rPr>
                <w:b/>
              </w:rPr>
            </w:pPr>
            <w:r w:rsidRPr="00312350">
              <w:rPr>
                <w:b/>
              </w:rPr>
              <w:t>16</w:t>
            </w:r>
          </w:p>
        </w:tc>
        <w:tc>
          <w:tcPr>
            <w:tcW w:w="8595" w:type="dxa"/>
          </w:tcPr>
          <w:p w:rsidR="00CE5DA9" w:rsidRPr="00312350" w:rsidRDefault="00312350" w:rsidP="00841DC6">
            <w:pPr>
              <w:rPr>
                <w:b/>
              </w:rPr>
            </w:pPr>
            <w:r w:rsidRPr="00312350">
              <w:rPr>
                <w:b/>
              </w:rPr>
              <w:t>CEMETERY EXTENSION</w:t>
            </w:r>
            <w:r w:rsidR="00841DC6">
              <w:br/>
              <w:t>There has been no correspondence from the Secretary of State regarding the request for a Compulsory Purchase Order.</w:t>
            </w:r>
          </w:p>
        </w:tc>
      </w:tr>
      <w:tr w:rsidR="00312350" w:rsidTr="00E21F6D">
        <w:trPr>
          <w:trHeight w:val="218"/>
        </w:trPr>
        <w:tc>
          <w:tcPr>
            <w:tcW w:w="516" w:type="dxa"/>
          </w:tcPr>
          <w:p w:rsidR="00312350" w:rsidRPr="00312350" w:rsidRDefault="00312350" w:rsidP="00456ECC">
            <w:pPr>
              <w:rPr>
                <w:b/>
              </w:rPr>
            </w:pPr>
            <w:r w:rsidRPr="00312350">
              <w:rPr>
                <w:b/>
              </w:rPr>
              <w:t>17</w:t>
            </w:r>
          </w:p>
        </w:tc>
        <w:tc>
          <w:tcPr>
            <w:tcW w:w="8595" w:type="dxa"/>
          </w:tcPr>
          <w:p w:rsidR="00CE5DA9" w:rsidRPr="00312350" w:rsidRDefault="00312350" w:rsidP="00841DC6">
            <w:pPr>
              <w:rPr>
                <w:b/>
              </w:rPr>
            </w:pPr>
            <w:r w:rsidRPr="00312350">
              <w:rPr>
                <w:b/>
              </w:rPr>
              <w:t>MATTERS FOR NEXT MEETING</w:t>
            </w:r>
            <w:r w:rsidR="00841DC6">
              <w:rPr>
                <w:b/>
              </w:rPr>
              <w:br/>
            </w:r>
            <w:r w:rsidR="00841DC6">
              <w:t>- Jackie Clover was asked to give a report on the Regatta and Village Walk</w:t>
            </w:r>
            <w:r w:rsidR="00841DC6">
              <w:br/>
              <w:t>- the clerk was asked to contact BDC again about possible refurbishment of the public toilets</w:t>
            </w:r>
            <w:r w:rsidR="00841DC6">
              <w:br/>
              <w:t>- allotments</w:t>
            </w:r>
            <w:r w:rsidR="00841DC6">
              <w:br/>
            </w:r>
            <w:r w:rsidR="00841DC6">
              <w:lastRenderedPageBreak/>
              <w:t>- resilience</w:t>
            </w:r>
            <w:r w:rsidR="00841DC6">
              <w:br/>
              <w:t>- Bure Valley Conservation Group</w:t>
            </w:r>
            <w:r w:rsidR="00841DC6">
              <w:br/>
              <w:t>- Dementia-friendly garden</w:t>
            </w:r>
          </w:p>
        </w:tc>
      </w:tr>
      <w:tr w:rsidR="00312350" w:rsidTr="00E21F6D">
        <w:tc>
          <w:tcPr>
            <w:tcW w:w="516" w:type="dxa"/>
          </w:tcPr>
          <w:p w:rsidR="00312350" w:rsidRPr="00312350" w:rsidRDefault="00312350" w:rsidP="00456ECC">
            <w:pPr>
              <w:rPr>
                <w:b/>
              </w:rPr>
            </w:pPr>
            <w:r w:rsidRPr="00312350">
              <w:rPr>
                <w:b/>
              </w:rPr>
              <w:lastRenderedPageBreak/>
              <w:t>18</w:t>
            </w:r>
          </w:p>
        </w:tc>
        <w:tc>
          <w:tcPr>
            <w:tcW w:w="8595" w:type="dxa"/>
          </w:tcPr>
          <w:p w:rsidR="00312350" w:rsidRPr="00312350" w:rsidRDefault="00312350" w:rsidP="00456ECC">
            <w:pPr>
              <w:rPr>
                <w:b/>
              </w:rPr>
            </w:pPr>
            <w:r w:rsidRPr="00312350">
              <w:rPr>
                <w:b/>
              </w:rPr>
              <w:t xml:space="preserve">DATE OF NEXT MEETING </w:t>
            </w:r>
            <w:r>
              <w:rPr>
                <w:b/>
              </w:rPr>
              <w:t>– 27</w:t>
            </w:r>
            <w:r w:rsidRPr="00312350">
              <w:rPr>
                <w:b/>
                <w:vertAlign w:val="superscript"/>
              </w:rPr>
              <w:t>th</w:t>
            </w:r>
            <w:r>
              <w:rPr>
                <w:b/>
              </w:rPr>
              <w:t xml:space="preserve"> June 2016</w:t>
            </w:r>
          </w:p>
        </w:tc>
      </w:tr>
    </w:tbl>
    <w:p w:rsidR="00841DC6" w:rsidRDefault="00CE5DA9" w:rsidP="00841DC6">
      <w:pPr>
        <w:ind w:hanging="426"/>
      </w:pPr>
      <w:r>
        <w:t xml:space="preserve">There being no further business, </w:t>
      </w:r>
      <w:r w:rsidR="00841DC6">
        <w:t xml:space="preserve">the meeting was closed at 9.57 </w:t>
      </w:r>
      <w:r>
        <w:t>pm</w:t>
      </w:r>
    </w:p>
    <w:p w:rsidR="00841DC6" w:rsidRDefault="00841DC6" w:rsidP="00841DC6">
      <w:pPr>
        <w:ind w:hanging="426"/>
      </w:pPr>
    </w:p>
    <w:p w:rsidR="00CE5DA9" w:rsidRDefault="00841DC6" w:rsidP="00841DC6">
      <w:pPr>
        <w:ind w:hanging="426"/>
      </w:pPr>
      <w:r>
        <w:t>S</w:t>
      </w:r>
      <w:r w:rsidR="00CE5DA9">
        <w:t>igned</w:t>
      </w:r>
      <w:proofErr w:type="gramStart"/>
      <w:r w:rsidR="00CE5DA9">
        <w:t>:………………………………….</w:t>
      </w:r>
      <w:proofErr w:type="gramEnd"/>
      <w:r w:rsidR="00CE5DA9">
        <w:tab/>
      </w:r>
      <w:r w:rsidR="00CE5DA9">
        <w:tab/>
        <w:t>Dated: 27</w:t>
      </w:r>
      <w:r w:rsidR="00CE5DA9" w:rsidRPr="00CE5DA9">
        <w:rPr>
          <w:vertAlign w:val="superscript"/>
        </w:rPr>
        <w:t>th</w:t>
      </w:r>
      <w:r w:rsidR="00CE5DA9">
        <w:t xml:space="preserve"> June 2016</w:t>
      </w:r>
      <w:r w:rsidR="00CE5DA9">
        <w:br/>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71" w:rsidRDefault="00E01171" w:rsidP="003A6EBD">
      <w:pPr>
        <w:spacing w:after="0" w:line="240" w:lineRule="auto"/>
      </w:pPr>
      <w:r>
        <w:separator/>
      </w:r>
    </w:p>
  </w:endnote>
  <w:endnote w:type="continuationSeparator" w:id="0">
    <w:p w:rsidR="00E01171" w:rsidRDefault="00E01171" w:rsidP="003A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657786"/>
      <w:docPartObj>
        <w:docPartGallery w:val="Page Numbers (Bottom of Page)"/>
        <w:docPartUnique/>
      </w:docPartObj>
    </w:sdtPr>
    <w:sdtEndPr>
      <w:rPr>
        <w:noProof/>
      </w:rPr>
    </w:sdtEndPr>
    <w:sdtContent>
      <w:p w:rsidR="003A6EBD" w:rsidRDefault="003A6EBD">
        <w:pPr>
          <w:pStyle w:val="Footer"/>
          <w:jc w:val="right"/>
        </w:pPr>
        <w:r>
          <w:t xml:space="preserve">23.05.2016    </w:t>
        </w:r>
        <w:r>
          <w:fldChar w:fldCharType="begin"/>
        </w:r>
        <w:r>
          <w:instrText xml:space="preserve"> PAGE   \* MERGEFORMAT </w:instrText>
        </w:r>
        <w:r>
          <w:fldChar w:fldCharType="separate"/>
        </w:r>
        <w:r w:rsidR="00690EA3">
          <w:rPr>
            <w:noProof/>
          </w:rPr>
          <w:t>7</w:t>
        </w:r>
        <w:r>
          <w:rPr>
            <w:noProof/>
          </w:rPr>
          <w:fldChar w:fldCharType="end"/>
        </w:r>
      </w:p>
    </w:sdtContent>
  </w:sdt>
  <w:p w:rsidR="003A6EBD" w:rsidRDefault="003A6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71" w:rsidRDefault="00E01171" w:rsidP="003A6EBD">
      <w:pPr>
        <w:spacing w:after="0" w:line="240" w:lineRule="auto"/>
      </w:pPr>
      <w:r>
        <w:separator/>
      </w:r>
    </w:p>
  </w:footnote>
  <w:footnote w:type="continuationSeparator" w:id="0">
    <w:p w:rsidR="00E01171" w:rsidRDefault="00E01171" w:rsidP="003A6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77041"/>
    <w:rsid w:val="00152984"/>
    <w:rsid w:val="001617BD"/>
    <w:rsid w:val="0019492A"/>
    <w:rsid w:val="00196875"/>
    <w:rsid w:val="001B3662"/>
    <w:rsid w:val="001C311D"/>
    <w:rsid w:val="001E56E4"/>
    <w:rsid w:val="001E738A"/>
    <w:rsid w:val="002440E2"/>
    <w:rsid w:val="002A74E8"/>
    <w:rsid w:val="002D0A50"/>
    <w:rsid w:val="002D6C99"/>
    <w:rsid w:val="00312350"/>
    <w:rsid w:val="00333434"/>
    <w:rsid w:val="003454F6"/>
    <w:rsid w:val="003A6EBD"/>
    <w:rsid w:val="00456ECC"/>
    <w:rsid w:val="00484443"/>
    <w:rsid w:val="004B7715"/>
    <w:rsid w:val="004E1CAC"/>
    <w:rsid w:val="004E3600"/>
    <w:rsid w:val="004E48F2"/>
    <w:rsid w:val="0052106D"/>
    <w:rsid w:val="00553E39"/>
    <w:rsid w:val="0058030B"/>
    <w:rsid w:val="00593159"/>
    <w:rsid w:val="00630BC5"/>
    <w:rsid w:val="00690EA3"/>
    <w:rsid w:val="00830824"/>
    <w:rsid w:val="00841DC6"/>
    <w:rsid w:val="008A313B"/>
    <w:rsid w:val="008D3DBC"/>
    <w:rsid w:val="008D5CF8"/>
    <w:rsid w:val="009020BB"/>
    <w:rsid w:val="009476D1"/>
    <w:rsid w:val="009A6FAC"/>
    <w:rsid w:val="00A2523D"/>
    <w:rsid w:val="00AC15A9"/>
    <w:rsid w:val="00AF6AFA"/>
    <w:rsid w:val="00B84C9F"/>
    <w:rsid w:val="00B934AB"/>
    <w:rsid w:val="00C737C1"/>
    <w:rsid w:val="00CE5DA9"/>
    <w:rsid w:val="00D27C40"/>
    <w:rsid w:val="00D47B30"/>
    <w:rsid w:val="00D77AED"/>
    <w:rsid w:val="00DA63DA"/>
    <w:rsid w:val="00DB762D"/>
    <w:rsid w:val="00DF298A"/>
    <w:rsid w:val="00E01171"/>
    <w:rsid w:val="00E21F6D"/>
    <w:rsid w:val="00E27DDC"/>
    <w:rsid w:val="00EC704A"/>
    <w:rsid w:val="00ED1341"/>
    <w:rsid w:val="00F12526"/>
    <w:rsid w:val="00F3721C"/>
    <w:rsid w:val="00F50B82"/>
    <w:rsid w:val="00FE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B317-8BC9-444F-8CA8-18554A35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2016-06-21T22:20:00Z</cp:lastPrinted>
  <dcterms:created xsi:type="dcterms:W3CDTF">2016-06-21T22:20:00Z</dcterms:created>
  <dcterms:modified xsi:type="dcterms:W3CDTF">2016-06-21T22:20:00Z</dcterms:modified>
</cp:coreProperties>
</file>